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i w:val="1"/>
          <w:sz w:val="28"/>
          <w:szCs w:val="28"/>
          <w:rtl w:val="0"/>
        </w:rPr>
        <w:t xml:space="preserve">COLLABORATIVE GOVERNANCE </w:t>
      </w:r>
      <w:r w:rsidDel="00000000" w:rsidR="00000000" w:rsidRPr="00000000">
        <w:rPr>
          <w:rFonts w:ascii="Times New Roman" w:cs="Times New Roman" w:eastAsia="Times New Roman" w:hAnsi="Times New Roman"/>
          <w:b w:val="1"/>
          <w:sz w:val="28"/>
          <w:szCs w:val="28"/>
          <w:rtl w:val="0"/>
        </w:rPr>
        <w:t xml:space="preserve">PADA PROGRAM KELUARGA HARAPAN SEBAGAI UPAYA PENGENTASAN KEMISKINAN DI KOTA MAGELANG</w:t>
      </w:r>
    </w:p>
    <w:p w:rsidR="00000000" w:rsidDel="00000000" w:rsidP="00000000" w:rsidRDefault="00000000" w:rsidRPr="00000000" w14:paraId="00000002">
      <w:pPr>
        <w:jc w:val="center"/>
        <w:rPr>
          <w:rFonts w:ascii="Times New Roman" w:cs="Times New Roman" w:eastAsia="Times New Roman" w:hAnsi="Times New Roman"/>
          <w:b w:val="1"/>
          <w:sz w:val="24"/>
          <w:szCs w:val="24"/>
          <w:vertAlign w:val="superscript"/>
        </w:rPr>
      </w:pPr>
      <w:r w:rsidDel="00000000" w:rsidR="00000000" w:rsidRPr="00000000">
        <w:rPr>
          <w:rFonts w:ascii="Times New Roman" w:cs="Times New Roman" w:eastAsia="Times New Roman" w:hAnsi="Times New Roman"/>
          <w:b w:val="1"/>
          <w:sz w:val="24"/>
          <w:szCs w:val="24"/>
          <w:rtl w:val="0"/>
        </w:rPr>
        <w:t xml:space="preserve">Fatimatuzzuhro</w:t>
      </w:r>
      <w:r w:rsidDel="00000000" w:rsidR="00000000" w:rsidRPr="00000000">
        <w:rPr>
          <w:rFonts w:ascii="Times New Roman" w:cs="Times New Roman" w:eastAsia="Times New Roman" w:hAnsi="Times New Roman"/>
          <w:b w:val="1"/>
          <w:sz w:val="24"/>
          <w:szCs w:val="24"/>
          <w:vertAlign w:val="superscript"/>
          <w:rtl w:val="0"/>
        </w:rPr>
        <w:t xml:space="preserve">1</w:t>
      </w:r>
      <w:r w:rsidDel="00000000" w:rsidR="00000000" w:rsidRPr="00000000">
        <w:rPr>
          <w:rFonts w:ascii="Times New Roman" w:cs="Times New Roman" w:eastAsia="Times New Roman" w:hAnsi="Times New Roman"/>
          <w:b w:val="1"/>
          <w:sz w:val="24"/>
          <w:szCs w:val="24"/>
          <w:rtl w:val="0"/>
        </w:rPr>
        <w:t xml:space="preserve">, Eny Boedi Orbawati</w:t>
      </w:r>
      <w:r w:rsidDel="00000000" w:rsidR="00000000" w:rsidRPr="00000000">
        <w:rPr>
          <w:rFonts w:ascii="Times New Roman" w:cs="Times New Roman" w:eastAsia="Times New Roman" w:hAnsi="Times New Roman"/>
          <w:b w:val="1"/>
          <w:sz w:val="24"/>
          <w:szCs w:val="24"/>
          <w:vertAlign w:val="superscript"/>
          <w:rtl w:val="0"/>
        </w:rPr>
        <w:t xml:space="preserve">2</w:t>
      </w:r>
      <w:r w:rsidDel="00000000" w:rsidR="00000000" w:rsidRPr="00000000">
        <w:rPr>
          <w:rFonts w:ascii="Times New Roman" w:cs="Times New Roman" w:eastAsia="Times New Roman" w:hAnsi="Times New Roman"/>
          <w:b w:val="1"/>
          <w:sz w:val="24"/>
          <w:szCs w:val="24"/>
          <w:rtl w:val="0"/>
        </w:rPr>
        <w:t xml:space="preserve">, Fadlurrahman</w:t>
      </w:r>
      <w:r w:rsidDel="00000000" w:rsidR="00000000" w:rsidRPr="00000000">
        <w:rPr>
          <w:rFonts w:ascii="Times New Roman" w:cs="Times New Roman" w:eastAsia="Times New Roman" w:hAnsi="Times New Roman"/>
          <w:b w:val="1"/>
          <w:sz w:val="24"/>
          <w:szCs w:val="24"/>
          <w:vertAlign w:val="superscript"/>
          <w:rtl w:val="0"/>
        </w:rPr>
        <w:t xml:space="preserve">3</w:t>
      </w:r>
    </w:p>
    <w:p w:rsidR="00000000" w:rsidDel="00000000" w:rsidP="00000000" w:rsidRDefault="00000000" w:rsidRPr="00000000" w14:paraId="00000003">
      <w:pPr>
        <w:spacing w:line="240" w:lineRule="auto"/>
        <w:jc w:val="center"/>
        <w:rPr>
          <w:rFonts w:ascii="Times New Roman" w:cs="Times New Roman" w:eastAsia="Times New Roman" w:hAnsi="Times New Roman"/>
          <w:color w:val="222222"/>
          <w:sz w:val="20"/>
          <w:szCs w:val="20"/>
        </w:rPr>
      </w:pPr>
      <w:r w:rsidDel="00000000" w:rsidR="00000000" w:rsidRPr="00000000">
        <w:rPr>
          <w:rFonts w:ascii="Times New Roman" w:cs="Times New Roman" w:eastAsia="Times New Roman" w:hAnsi="Times New Roman"/>
          <w:color w:val="000000"/>
          <w:rtl w:val="0"/>
        </w:rPr>
        <w:t xml:space="preserve">Universitas Tidar; </w:t>
      </w:r>
      <w:r w:rsidDel="00000000" w:rsidR="00000000" w:rsidRPr="00000000">
        <w:rPr>
          <w:rFonts w:ascii="Times New Roman" w:cs="Times New Roman" w:eastAsia="Times New Roman" w:hAnsi="Times New Roman"/>
          <w:color w:val="222222"/>
          <w:sz w:val="20"/>
          <w:szCs w:val="20"/>
          <w:rtl w:val="0"/>
        </w:rPr>
        <w:t xml:space="preserve">Jl. Kapten Suparman 39 Potrobangsan, Magelang Utara, Jateng 56116 </w:t>
      </w:r>
    </w:p>
    <w:p w:rsidR="00000000" w:rsidDel="00000000" w:rsidP="00000000" w:rsidRDefault="00000000" w:rsidRPr="00000000" w14:paraId="00000004">
      <w:pPr>
        <w:spacing w:line="240" w:lineRule="auto"/>
        <w:jc w:val="cente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color w:val="222222"/>
          <w:sz w:val="20"/>
          <w:szCs w:val="20"/>
          <w:rtl w:val="0"/>
        </w:rPr>
        <w:t xml:space="preserve">(0293) 364113 | Telp (0293) 362438</w:t>
      </w: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vertAlign w:val="superscript"/>
        </w:rPr>
      </w:pPr>
      <w:r w:rsidDel="00000000" w:rsidR="00000000" w:rsidRPr="00000000">
        <w:rPr>
          <w:rFonts w:ascii="Times New Roman" w:cs="Times New Roman" w:eastAsia="Times New Roman" w:hAnsi="Times New Roman"/>
          <w:rtl w:val="0"/>
        </w:rPr>
        <w:t xml:space="preserve">e-mail: </w:t>
      </w:r>
      <w:hyperlink r:id="rId7">
        <w:r w:rsidDel="00000000" w:rsidR="00000000" w:rsidRPr="00000000">
          <w:rPr>
            <w:rFonts w:ascii="Times New Roman" w:cs="Times New Roman" w:eastAsia="Times New Roman" w:hAnsi="Times New Roman"/>
            <w:color w:val="0000ff"/>
            <w:u w:val="single"/>
            <w:rtl w:val="0"/>
          </w:rPr>
          <w:t xml:space="preserve">fatimatuzzuhro18@gmail.com</w:t>
        </w:r>
      </w:hyperlink>
      <w:hyperlink r:id="rId8">
        <w:r w:rsidDel="00000000" w:rsidR="00000000" w:rsidRPr="00000000">
          <w:rPr>
            <w:rFonts w:ascii="Times New Roman" w:cs="Times New Roman" w:eastAsia="Times New Roman" w:hAnsi="Times New Roman"/>
            <w:color w:val="0000ff"/>
            <w:u w:val="single"/>
            <w:vertAlign w:val="superscript"/>
            <w:rtl w:val="0"/>
          </w:rPr>
          <w:t xml:space="preserve">1</w:t>
        </w:r>
      </w:hyperlink>
      <w:r w:rsidDel="00000000" w:rsidR="00000000" w:rsidRPr="00000000">
        <w:rPr>
          <w:rFonts w:ascii="Times New Roman" w:cs="Times New Roman" w:eastAsia="Times New Roman" w:hAnsi="Times New Roman"/>
          <w:rtl w:val="0"/>
        </w:rPr>
        <w:t xml:space="preserve">, </w:t>
      </w:r>
      <w:hyperlink r:id="rId9">
        <w:r w:rsidDel="00000000" w:rsidR="00000000" w:rsidRPr="00000000">
          <w:rPr>
            <w:rFonts w:ascii="Times New Roman" w:cs="Times New Roman" w:eastAsia="Times New Roman" w:hAnsi="Times New Roman"/>
            <w:color w:val="0000ff"/>
            <w:u w:val="single"/>
            <w:rtl w:val="0"/>
          </w:rPr>
          <w:t xml:space="preserve">enybudiorbawati@gmail.com</w:t>
        </w:r>
      </w:hyperlink>
      <w:hyperlink r:id="rId10">
        <w:r w:rsidDel="00000000" w:rsidR="00000000" w:rsidRPr="00000000">
          <w:rPr>
            <w:rFonts w:ascii="Times New Roman" w:cs="Times New Roman" w:eastAsia="Times New Roman" w:hAnsi="Times New Roman"/>
            <w:color w:val="0000ff"/>
            <w:u w:val="single"/>
            <w:vertAlign w:val="superscript"/>
            <w:rtl w:val="0"/>
          </w:rPr>
          <w:t xml:space="preserve">2</w:t>
        </w:r>
      </w:hyperlink>
      <w:r w:rsidDel="00000000" w:rsidR="00000000" w:rsidRPr="00000000">
        <w:rPr>
          <w:rFonts w:ascii="Times New Roman" w:cs="Times New Roman" w:eastAsia="Times New Roman" w:hAnsi="Times New Roman"/>
          <w:vertAlign w:val="superscript"/>
          <w:rtl w:val="0"/>
        </w:rPr>
        <w:t xml:space="preserve">, </w:t>
      </w:r>
      <w:hyperlink r:id="rId11">
        <w:r w:rsidDel="00000000" w:rsidR="00000000" w:rsidRPr="00000000">
          <w:rPr>
            <w:rFonts w:ascii="Times New Roman" w:cs="Times New Roman" w:eastAsia="Times New Roman" w:hAnsi="Times New Roman"/>
            <w:color w:val="0000ff"/>
            <w:u w:val="single"/>
            <w:rtl w:val="0"/>
          </w:rPr>
          <w:t xml:space="preserve">fadlurrahman@untidar.ac.id</w:t>
        </w:r>
      </w:hyperlink>
      <w:hyperlink r:id="rId12">
        <w:r w:rsidDel="00000000" w:rsidR="00000000" w:rsidRPr="00000000">
          <w:rPr>
            <w:rFonts w:ascii="Times New Roman" w:cs="Times New Roman" w:eastAsia="Times New Roman" w:hAnsi="Times New Roman"/>
            <w:color w:val="0000ff"/>
            <w:u w:val="single"/>
            <w:vertAlign w:val="superscript"/>
            <w:rtl w:val="0"/>
          </w:rPr>
          <w:t xml:space="preserve">3</w:t>
        </w:r>
      </w:hyperlink>
      <w:r w:rsidDel="00000000" w:rsidR="00000000" w:rsidRPr="00000000">
        <w:rPr>
          <w:rFonts w:ascii="Times New Roman" w:cs="Times New Roman" w:eastAsia="Times New Roman" w:hAnsi="Times New Roman"/>
          <w:vertAlign w:val="superscript"/>
          <w:rtl w:val="0"/>
        </w:rPr>
        <w:t xml:space="preserve"> </w:t>
      </w:r>
    </w:p>
    <w:p w:rsidR="00000000" w:rsidDel="00000000" w:rsidP="00000000" w:rsidRDefault="00000000" w:rsidRPr="00000000" w14:paraId="00000006">
      <w:pPr>
        <w:jc w:val="center"/>
        <w:rPr>
          <w:rFonts w:ascii="Times New Roman" w:cs="Times New Roman" w:eastAsia="Times New Roman" w:hAnsi="Times New Roman"/>
        </w:rPr>
      </w:pPr>
      <w:r w:rsidDel="00000000" w:rsidR="00000000" w:rsidRPr="00000000">
        <w:rPr>
          <w:rtl w:val="0"/>
        </w:rPr>
      </w:r>
    </w:p>
    <w:tbl>
      <w:tblPr>
        <w:tblStyle w:val="Table1"/>
        <w:tblW w:w="16589.0" w:type="dxa"/>
        <w:jc w:val="left"/>
        <w:tblInd w:w="-70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0267"/>
        <w:gridCol w:w="6322"/>
        <w:tblGridChange w:id="0">
          <w:tblGrid>
            <w:gridCol w:w="10267"/>
            <w:gridCol w:w="6322"/>
          </w:tblGrid>
        </w:tblGridChange>
      </w:tblGrid>
      <w:tr>
        <w:trPr>
          <w:cantSplit w:val="0"/>
          <w:trHeight w:val="5294" w:hRule="atLeast"/>
          <w:tblHeader w:val="0"/>
        </w:trPr>
        <w:tc>
          <w:tcPr>
            <w:tcBorders>
              <w:top w:color="000000" w:space="0" w:sz="12" w:val="single"/>
              <w:left w:color="000000" w:space="0" w:sz="0" w:val="nil"/>
              <w:bottom w:color="000000" w:space="0" w:sz="12" w:val="single"/>
              <w:right w:color="000000" w:space="0" w:sz="0" w:val="nil"/>
            </w:tcBorders>
            <w:tcMar>
              <w:top w:w="0.0" w:type="dxa"/>
              <w:left w:w="108.0" w:type="dxa"/>
              <w:bottom w:w="0.0" w:type="dxa"/>
              <w:right w:w="108.0" w:type="dxa"/>
            </w:tcMar>
          </w:tcPr>
          <w:p w:rsidR="00000000" w:rsidDel="00000000" w:rsidP="00000000" w:rsidRDefault="00000000" w:rsidRPr="00000000" w14:paraId="00000007">
            <w:pPr>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ABSTRAK</w:t>
            </w:r>
          </w:p>
          <w:p w:rsidR="00000000" w:rsidDel="00000000" w:rsidP="00000000" w:rsidRDefault="00000000" w:rsidRPr="00000000" w14:paraId="00000009">
            <w:pPr>
              <w:spacing w:line="240" w:lineRule="auto"/>
              <w:ind w:firstLine="720"/>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PKH adalah program yang diarahkan untuk menjadi Episentrum Center Of Excellence atau penanggulangan kemiskinan dengan mensinergikan berbagai program perlindungan dan pemberdayaan sosial. PKH dianggap sebagai program yang paling efektif dalam menurunkan tingkat kemiskinan menurut survey Bank Dunia (2019). Dalam pencapai PKH yang efektif dibutuhkan sinergitas dan kolaborasi mengingat PKH merupakan bantuan sosial yang memberikan fasilitas pendidikan dan kesehatan kepada penerimanya. Pada  implementasinya PKH di Kota Magelang masih menemui permasalahan terkait keterpaduan data dan koordinasi. Penelitian ini bertujuan untuk mengkaji dan menganalisis bagaimana Collaborative governance PKH dalam upaya pengentasan kmiskinan di Kota Magelang. Lokus penelitian ini dilingkungan Dinas Sosial dan masyarakat penerima manfaat. Metode penelitian yang digunakan adalah metode kualitatif deskriptif. Pengumpulan data dalam penelitian ini melalui sumber data primer berupa wawancara mendalam dan sumber data sekunder yaitu literatur, jurnal dan dokumen lainnya yang berkaitan dengan penelitian. Hasil dari penelitian ini di antaranya yaitu proses kolaborasi dijalankan dengan cukup baik walaupun masih terdapat kendala dalam komitmen dukungan dari pemerintah daerah terkait dana sharing dan kurangnya keterlibatan media cetak dalam kolaborasi. Adapun saran yang diberikan untuk penelitian ini meliputi, perluasan jaringan kolaborasi, pengoptimalan forum KUBE dan perencanaan anggaran.</w:t>
            </w:r>
          </w:p>
          <w:p w:rsidR="00000000" w:rsidDel="00000000" w:rsidP="00000000" w:rsidRDefault="00000000" w:rsidRPr="00000000" w14:paraId="0000000A">
            <w:pPr>
              <w:spacing w:line="360" w:lineRule="auto"/>
              <w:jc w:val="both"/>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20"/>
                <w:szCs w:val="20"/>
                <w:rtl w:val="0"/>
              </w:rPr>
              <w:t xml:space="preserve">Keywords : Collaborative Governance, Kebijakan, Pogram Keluarga Harapan.</w:t>
            </w:r>
            <w:r w:rsidDel="00000000" w:rsidR="00000000" w:rsidRPr="00000000">
              <w:rPr>
                <w:rtl w:val="0"/>
              </w:rPr>
            </w:r>
          </w:p>
        </w:tc>
        <w:tc>
          <w:tcPr>
            <w:tcBorders>
              <w:top w:color="000000" w:space="0" w:sz="4" w:val="single"/>
              <w:left w:color="000000" w:space="0" w:sz="0" w:val="nil"/>
              <w:bottom w:color="000000" w:space="0" w:sz="12" w:val="single"/>
              <w:right w:color="000000" w:space="0" w:sz="0" w:val="nil"/>
            </w:tcBorders>
            <w:tcMar>
              <w:top w:w="0.0" w:type="dxa"/>
              <w:left w:w="108.0" w:type="dxa"/>
              <w:bottom w:w="0.0" w:type="dxa"/>
              <w:right w:w="108.0" w:type="dxa"/>
            </w:tcMar>
          </w:tcPr>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0C">
      <w:pPr>
        <w:rPr>
          <w:rFonts w:ascii="Times New Roman" w:cs="Times New Roman" w:eastAsia="Times New Roman" w:hAnsi="Times New Roman"/>
          <w:sz w:val="24"/>
          <w:szCs w:val="24"/>
        </w:rPr>
        <w:sectPr>
          <w:headerReference r:id="rId13" w:type="default"/>
          <w:footerReference r:id="rId14" w:type="default"/>
          <w:pgSz w:h="16838" w:w="11906" w:orient="portrait"/>
          <w:pgMar w:bottom="1134" w:top="1701" w:left="1418" w:right="1134" w:header="709" w:footer="454"/>
          <w:pgNumType w:start="1"/>
        </w:sectPr>
      </w:pPr>
      <w:r w:rsidDel="00000000" w:rsidR="00000000" w:rsidRPr="00000000">
        <w:rPr>
          <w:rtl w:val="0"/>
        </w:rPr>
      </w:r>
    </w:p>
    <w:p w:rsidR="00000000" w:rsidDel="00000000" w:rsidP="00000000" w:rsidRDefault="00000000" w:rsidRPr="00000000" w14:paraId="0000000D">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PENDAHULUAN</w:t>
      </w:r>
    </w:p>
    <w:p w:rsidR="00000000" w:rsidDel="00000000" w:rsidP="00000000" w:rsidRDefault="00000000" w:rsidRPr="00000000" w14:paraId="0000000E">
      <w:pPr>
        <w:spacing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Masalah kemiskinan adalah suatu </w:t>
      </w:r>
      <w:r w:rsidDel="00000000" w:rsidR="00000000" w:rsidRPr="00000000">
        <w:rPr>
          <w:rFonts w:ascii="Times New Roman" w:cs="Times New Roman" w:eastAsia="Times New Roman" w:hAnsi="Times New Roman"/>
          <w:i w:val="1"/>
          <w:sz w:val="24"/>
          <w:szCs w:val="24"/>
          <w:rtl w:val="0"/>
        </w:rPr>
        <w:t xml:space="preserve">problem</w:t>
      </w:r>
      <w:r w:rsidDel="00000000" w:rsidR="00000000" w:rsidRPr="00000000">
        <w:rPr>
          <w:rFonts w:ascii="Times New Roman" w:cs="Times New Roman" w:eastAsia="Times New Roman" w:hAnsi="Times New Roman"/>
          <w:sz w:val="24"/>
          <w:szCs w:val="24"/>
          <w:rtl w:val="0"/>
        </w:rPr>
        <w:t xml:space="preserve"> yang kompleks dimana sampai dengan akhir abad 20 kemiskinan masih merupakan suatu masalah yang menjadi beban bagi dunia. Kemiskinan menjadi salah satu ukuran terpenting untuk mengetahui tingkat kesejahteraan suatu rumah tangga. Sebagai suatu ukuran agregat, tingkat kemiskinan di suatu wilayah digunakan untuk mengukur tingkat kesejahteraan di wilayah tersebut (Todaro &amp; Smith, 2006) [1].</w:t>
      </w:r>
    </w:p>
    <w:p w:rsidR="00000000" w:rsidDel="00000000" w:rsidP="00000000" w:rsidRDefault="00000000" w:rsidRPr="00000000" w14:paraId="0000000F">
      <w:pPr>
        <w:spacing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Dalam konteks negara berkembang seperti Indonesia, kemiskinan menjadi persoalan sosial yang terus muncul dan menjadi beban berat tersendiri. Kemiskinan masih menjadi permasalahan yang kompleks dan menjadi sebuah permasalahan besar yang harus segera ditanggulangi [2].</w:t>
      </w:r>
    </w:p>
    <w:p w:rsidR="00000000" w:rsidDel="00000000" w:rsidP="00000000" w:rsidRDefault="00000000" w:rsidRPr="00000000" w14:paraId="00000010">
      <w:pPr>
        <w:spacing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 Indonesia perkembangan kemiskinan selama tahun 2020 meningkat 0,41% dari tahun 2019 menjadi 10,19% dengan jumlah sebesar 27,54 juta orang penduduk berstatus miskin (BPS.go.id, 2021). Jawa Tengah sendiri pada data tahun 2020 BPS mencatat tingkat kemiskinan menurun dari 11,84% menjadi 11,79% pada Bulan September. Maka dapat dilihat bahwa sekitar 10% lebih dari penduduk Indonesia dapat dikatakan masih berada dibawah garis kemiskinan [3].</w:t>
      </w:r>
    </w:p>
    <w:p w:rsidR="00000000" w:rsidDel="00000000" w:rsidP="00000000" w:rsidRDefault="00000000" w:rsidRPr="00000000" w14:paraId="00000011">
      <w:pPr>
        <w:spacing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Sedangkan, kemiskinan di Kota Magelang pada September (2020) mengalami peningkatan 0,12% dari tahun 2019 dan masuk dalam persentase penduduk miskin di bawah provinsi dan di atas nasional (BPS.go.id, 2020). Dalam dokumen Rencana Aksi Daerah Jawa Tengah tahun 2021, disebutkan bahwa Kota Magelang berada dalam Garis Kemiskinan Rendah, dimana garis kemiskinan Kota Magelang berada di bawah garis kemiskinan provinsi serta masuk dalam kategori Indeks Keparahan Kemiskinan Rendah (P2). Sedangkan angka kemiskinan Kota Magelang, termasuk kategori tinggi yaitu 7,58 % (9.300 jiwa) dan pada tahun 2020, Kota Magelang menempati urutan ke-2 di antara 6 kota di Provinsi Jawa Tengah, dengan garis kemiskinan tertinggi (Rp.537,783) [4].</w:t>
      </w:r>
    </w:p>
    <w:p w:rsidR="00000000" w:rsidDel="00000000" w:rsidP="00000000" w:rsidRDefault="00000000" w:rsidRPr="00000000" w14:paraId="00000012">
      <w:pPr>
        <w:spacing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statistik memang dapat menggambarkan berat ringannya masalah kemiskinan. Namun, di balik data statistik ini kemiskinan pada dasarnya mengindikasikan adanya permasalahan yang lebih mendasar. Oleh karena itu, kajian terhadap masalah kemiskinan masih aktual untuk dilakukan.</w:t>
      </w:r>
    </w:p>
    <w:p w:rsidR="00000000" w:rsidDel="00000000" w:rsidP="00000000" w:rsidRDefault="00000000" w:rsidRPr="00000000" w14:paraId="00000013">
      <w:pPr>
        <w:spacing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 Kota Magelang, isu pengurangan kemiskinan dianggap prioritas pertama oleh pemerintah sebagaimana tertuang dalam dokumen Rencana Pembangunan Jangka Menengah Daerah 2016-2021. Mengingat menurut RPJMD terdapat target prosentase penduduk miskin Kota Magelang yaitu pada tahun 2021 6,40% dan 6,10% pada tahun 2022 [5].</w:t>
      </w:r>
    </w:p>
    <w:p w:rsidR="00000000" w:rsidDel="00000000" w:rsidP="00000000" w:rsidRDefault="00000000" w:rsidRPr="00000000" w14:paraId="00000014">
      <w:pPr>
        <w:spacing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Dalam menanggulangi masalah kemiskinan harus dipilih strategi yang dapat memperkuat peran dan posisi perekonomian rakyat dalam perekonomian nasional, sehingga terjadi perubahan struktural yang meliputi pengalokasian sumber daya, penguatan kelembagaan, pemberdayaan sumber daya manusia, dimana partisipasi menjadi kata kunci dalam pembangunan (Sumodiningrat, 1998) [6]. Program-program penanggulangan kemiskinan tersebut salah satunya berupa Program Keluarga Harapan (PKH).</w:t>
      </w:r>
    </w:p>
    <w:p w:rsidR="00000000" w:rsidDel="00000000" w:rsidP="00000000" w:rsidRDefault="00000000" w:rsidRPr="00000000" w14:paraId="00000015">
      <w:pPr>
        <w:spacing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Program Keluarga Harapan (PKH), dianggap sebagai program yang paling efektif dalam menurunkan tingkat kemiskinan sebagaimana dalam survey Bank Dunia (2019) yang menyebutkan bahwa “PKH merupakan satu-satunya program yang memiliki indeks efisiensi dalam penurunan derajat kemiskinan yang signifikan” dan menurut Dr.Ir.Rd. Harry Hikmat, M.Si Direktur Jenderal Perlindungan dan Jaminan Sosial, kebijakan Program Keluarga Harapan (PKH) terbukti cukup berhasil dalam menanggulangi kemiskinan dengan memberikan sumbangsih sebesar 0,41% dalam mengakhiri kemiskinan per Maret 2019. Program tersebut dilakukan, untuk menunjang percepatan penanggulangan kemiskinan yang komprehensif dan mewujudkan masyarakat yang sejahtera, demokratis, adil dan makmur [7].</w:t>
      </w:r>
    </w:p>
    <w:p w:rsidR="00000000" w:rsidDel="00000000" w:rsidP="00000000" w:rsidRDefault="00000000" w:rsidRPr="00000000" w14:paraId="00000016">
      <w:pPr>
        <w:spacing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Permasalahan berikutnya, mengenai penanggulangan kemiskinan di Kota Magelang adalah merujuk pada identifikasi isu strategis pada Rencana Pembangunan Jangka Menengah Daerah Kota Magelang (2016-2021). dan masih terdapatnya identifikasi masalah terkait penurunan kemiskinan di Kota Magelang semakin disorot masyarakat. Salah satunya,  belum optimal nya pendekatan integratif untuk penanggulangan kemiskinan daerah, dan belum adanya keterpaduan antar SKPD dalam upaya percepatan pengentasan kemiskinan dengan indikator capaian yang terukur sehingga program-program dan penanganan kemiskinan seperti PKH yang diupayakan sehingga belum dapat dapat mendorong akselerasi dan efektitas penurunan jumlah penduduk miskin [8].</w:t>
      </w:r>
    </w:p>
    <w:p w:rsidR="00000000" w:rsidDel="00000000" w:rsidP="00000000" w:rsidRDefault="00000000" w:rsidRPr="00000000" w14:paraId="00000017">
      <w:pPr>
        <w:spacing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 tersebut menegaskan, bahwa permasalahan tingkat kemiskinan juga memerlukan kebijakan yang terpadu dan berkesinambungan. Tanpa adanya kolaborasi dan sinergi, masalah kemiskinan akan melahirkan permasalahan baru. Masalah sosial, ekonomi, dan politik bisa menjadi masalah lanjutan dari masalah kemiskinan. Terlaksananya sinergitas program dapat menjadi kunci keberhasilan dalam mengatasi kemiskinan di Kota Magelang.</w:t>
      </w:r>
    </w:p>
    <w:p w:rsidR="00000000" w:rsidDel="00000000" w:rsidP="00000000" w:rsidRDefault="00000000" w:rsidRPr="00000000" w14:paraId="00000018">
      <w:pPr>
        <w:spacing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Program Keluarga Harapan (PKH) merupakan salah satu program yang membutuhkan kajian </w:t>
      </w:r>
      <w:r w:rsidDel="00000000" w:rsidR="00000000" w:rsidRPr="00000000">
        <w:rPr>
          <w:rFonts w:ascii="Times New Roman" w:cs="Times New Roman" w:eastAsia="Times New Roman" w:hAnsi="Times New Roman"/>
          <w:i w:val="1"/>
          <w:sz w:val="24"/>
          <w:szCs w:val="24"/>
          <w:rtl w:val="0"/>
        </w:rPr>
        <w:t xml:space="preserve">collaborative governance</w:t>
      </w:r>
      <w:r w:rsidDel="00000000" w:rsidR="00000000" w:rsidRPr="00000000">
        <w:rPr>
          <w:rFonts w:ascii="Times New Roman" w:cs="Times New Roman" w:eastAsia="Times New Roman" w:hAnsi="Times New Roman"/>
          <w:sz w:val="24"/>
          <w:szCs w:val="24"/>
          <w:rtl w:val="0"/>
        </w:rPr>
        <w:t xml:space="preserve">, mengingat PKH adalah program yang diarahkan untuk menjadi </w:t>
      </w:r>
      <w:r w:rsidDel="00000000" w:rsidR="00000000" w:rsidRPr="00000000">
        <w:rPr>
          <w:rFonts w:ascii="Times New Roman" w:cs="Times New Roman" w:eastAsia="Times New Roman" w:hAnsi="Times New Roman"/>
          <w:i w:val="1"/>
          <w:sz w:val="24"/>
          <w:szCs w:val="24"/>
          <w:rtl w:val="0"/>
        </w:rPr>
        <w:t xml:space="preserve">Episentrum Center Of Excellence </w:t>
      </w:r>
      <w:r w:rsidDel="00000000" w:rsidR="00000000" w:rsidRPr="00000000">
        <w:rPr>
          <w:rFonts w:ascii="Times New Roman" w:cs="Times New Roman" w:eastAsia="Times New Roman" w:hAnsi="Times New Roman"/>
          <w:sz w:val="24"/>
          <w:szCs w:val="24"/>
          <w:rtl w:val="0"/>
        </w:rPr>
        <w:t xml:space="preserve">atau</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penanggulangan kemiskinan dengan mensinergikan berbagai program perlindungan dan pemberdayaan sosial (kemensos.go.id). Sehingga </w:t>
      </w:r>
      <w:r w:rsidDel="00000000" w:rsidR="00000000" w:rsidRPr="00000000">
        <w:rPr>
          <w:rFonts w:ascii="Times New Roman" w:cs="Times New Roman" w:eastAsia="Times New Roman" w:hAnsi="Times New Roman"/>
          <w:i w:val="1"/>
          <w:sz w:val="24"/>
          <w:szCs w:val="24"/>
          <w:rtl w:val="0"/>
        </w:rPr>
        <w:t xml:space="preserve">Collaborative Governance </w:t>
      </w:r>
      <w:r w:rsidDel="00000000" w:rsidR="00000000" w:rsidRPr="00000000">
        <w:rPr>
          <w:rFonts w:ascii="Times New Roman" w:cs="Times New Roman" w:eastAsia="Times New Roman" w:hAnsi="Times New Roman"/>
          <w:sz w:val="24"/>
          <w:szCs w:val="24"/>
          <w:rtl w:val="0"/>
        </w:rPr>
        <w:t xml:space="preserve">pada Progam Keluarga Harapan perlu dan harus dilakukan [9].</w:t>
      </w:r>
    </w:p>
    <w:p w:rsidR="00000000" w:rsidDel="00000000" w:rsidP="00000000" w:rsidRDefault="00000000" w:rsidRPr="00000000" w14:paraId="00000019">
      <w:pPr>
        <w:spacing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Collaborative governance</w:t>
      </w:r>
      <w:r w:rsidDel="00000000" w:rsidR="00000000" w:rsidRPr="00000000">
        <w:rPr>
          <w:rFonts w:ascii="Times New Roman" w:cs="Times New Roman" w:eastAsia="Times New Roman" w:hAnsi="Times New Roman"/>
          <w:sz w:val="24"/>
          <w:szCs w:val="24"/>
          <w:rtl w:val="0"/>
        </w:rPr>
        <w:t xml:space="preserve"> adalah tata kelola yang mencakup multipartner pemerintah, seperti pemerintah, sektor swasta, masyarakat sipil, masyarakat, serta pengaturan gabungan / </w:t>
      </w:r>
      <w:r w:rsidDel="00000000" w:rsidR="00000000" w:rsidRPr="00000000">
        <w:rPr>
          <w:rFonts w:ascii="Times New Roman" w:cs="Times New Roman" w:eastAsia="Times New Roman" w:hAnsi="Times New Roman"/>
          <w:i w:val="1"/>
          <w:sz w:val="24"/>
          <w:szCs w:val="24"/>
          <w:rtl w:val="0"/>
        </w:rPr>
        <w:t xml:space="preserve">hybrid</w:t>
      </w:r>
      <w:r w:rsidDel="00000000" w:rsidR="00000000" w:rsidRPr="00000000">
        <w:rPr>
          <w:rFonts w:ascii="Times New Roman" w:cs="Times New Roman" w:eastAsia="Times New Roman" w:hAnsi="Times New Roman"/>
          <w:sz w:val="24"/>
          <w:szCs w:val="24"/>
          <w:rtl w:val="0"/>
        </w:rPr>
        <w:t xml:space="preserve"> (O’Leary, Bingham and Gerad: 2006; Bryson, Crosby and Stone: 2006; Emerson, Nabatchi &amp; Balogh, 2012) [10].</w:t>
      </w:r>
    </w:p>
    <w:p w:rsidR="00000000" w:rsidDel="00000000" w:rsidP="00000000" w:rsidRDefault="00000000" w:rsidRPr="00000000" w14:paraId="0000001A">
      <w:pPr>
        <w:spacing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Keluarga Harapan merupakan program perlindungan sosial dibawah Dirjen Jaminan Sosial dan Keluarga Kementerian Sosial RI, dimana program ini dilaksanakan melalui pemberian bantuan sosial bersyarat kepada Keluarga Miskin (KM). Program Keluarga Harapan juga merupakan program lintas kementerian dan lembaga.  Program Keluarga Harapan merupakan program pemberian bantuan sosial bersyarat kepada Keluarga Penerima Manfaat (KPM) yang ditetapkan sebagai keluarga penerima manfaat PKH. Program perlindungan social ini juga dikenal di dunia Internasional dengan istilah </w:t>
      </w:r>
      <w:r w:rsidDel="00000000" w:rsidR="00000000" w:rsidRPr="00000000">
        <w:rPr>
          <w:rFonts w:ascii="Times New Roman" w:cs="Times New Roman" w:eastAsia="Times New Roman" w:hAnsi="Times New Roman"/>
          <w:i w:val="1"/>
          <w:sz w:val="24"/>
          <w:szCs w:val="24"/>
          <w:rtl w:val="0"/>
        </w:rPr>
        <w:t xml:space="preserve">Conditional Cash Transfers (CCT)</w:t>
      </w:r>
      <w:r w:rsidDel="00000000" w:rsidR="00000000" w:rsidRPr="00000000">
        <w:rPr>
          <w:rFonts w:ascii="Times New Roman" w:cs="Times New Roman" w:eastAsia="Times New Roman" w:hAnsi="Times New Roman"/>
          <w:sz w:val="24"/>
          <w:szCs w:val="24"/>
          <w:rtl w:val="0"/>
        </w:rPr>
        <w:t xml:space="preserve">. Program Keluarga Harapan (PKH) sudah ada di Indonesia sejak 2007, sedangkan pada tahun 2015 sesuai dengan Surat Keputusan Direktur Jenderal Perlindungan dan Jaminan Sosial Nomor 01/LJS/01/2015, Kota Magelang masuk dalam wilayah penerima PKH (Kemensos.go.id) [11].</w:t>
      </w:r>
    </w:p>
    <w:p w:rsidR="00000000" w:rsidDel="00000000" w:rsidP="00000000" w:rsidRDefault="00000000" w:rsidRPr="00000000" w14:paraId="0000001B">
      <w:pPr>
        <w:spacing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Dengan  adanya  PKH,  harapannya  mampu  membantu  rumah  tangga miskin  agar  dapat  terbantu  beban  pengeluaran nya  dan  dapat  memberdayakan  hidupnya  sehingga  dapat  meningkatkan  tingkat  kesejahteraan  hidup. </w:t>
      </w:r>
    </w:p>
    <w:p w:rsidR="00000000" w:rsidDel="00000000" w:rsidP="00000000" w:rsidRDefault="00000000" w:rsidRPr="00000000" w14:paraId="0000001C">
      <w:pPr>
        <w:spacing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Akan  tetapi,  di lapangan masih terdapat temuan masalah dimana dalam penelitian yang difokuskan pada pelaksanaan PKH di Kota Magelang (Rita Delphina Arif, 2020) menyebutkan pelaksanaan PKH di Kota Magelang masih terdapat beberapa masalah seperti belum terpadu nya data antara Pemerintah Desa dengan data pada Dinas Sosial. Selain itu, PKH dinilai belum efektif karena terdapat beberapa kekurangan  dalam  hal  koordinasi terkait data kemiskinan di awal pelaksanaannya dan  penyampaian informasi kepada keluarga penerima manfaat PKH. Dalam hal ini koordinasi Dinas Sosial dengan Pemerintah Desa hingga elemen RT RW juga masih perlu untuk lebih dimutakhirkan (Ritha Delphina,2020) [12].</w:t>
      </w:r>
    </w:p>
    <w:p w:rsidR="00000000" w:rsidDel="00000000" w:rsidP="00000000" w:rsidRDefault="00000000" w:rsidRPr="00000000" w14:paraId="0000001D">
      <w:pPr>
        <w:spacing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Pada dasarnya keberhasilan pelaksanaan bukan hanya tergantung aspek teknis semata, tetapi mencakup juga aspek non teknis seperti bagaimana mengatur sistem agar dapat berfungsi lebih lanjut terkait bagaimana lembaga atau organisasi yang mengelola serta cara membiayai sistem tersebut dan yang tak kalah pentingnya adalah bagaimana melibatkan semua pihak dengan penuh keharmonisan sehingga menghasilkan program yang efektif (Damhuri. 2010:11) [13].</w:t>
      </w:r>
    </w:p>
    <w:p w:rsidR="00000000" w:rsidDel="00000000" w:rsidP="00000000" w:rsidRDefault="00000000" w:rsidRPr="00000000" w14:paraId="0000001E">
      <w:pPr>
        <w:spacing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Berdasarkan uraian diatas, peneliti tertarik untuk mengkaji bagaimana kolaborasi antar aktor, pelaksanaan yang dilakukan secara terpadu, terencana dan berkesinambungan pada PKH menggunakan teori Ansell dan Gash (2008) mulai dari kondisi awal kolaborasi sampai hasil jangka menengah kolaborasi yang dilakukan, mengingat alasan bahwa dengan adanya kolaborasi dan partisipasi dari seluruh </w:t>
      </w:r>
      <w:r w:rsidDel="00000000" w:rsidR="00000000" w:rsidRPr="00000000">
        <w:rPr>
          <w:rFonts w:ascii="Times New Roman" w:cs="Times New Roman" w:eastAsia="Times New Roman" w:hAnsi="Times New Roman"/>
          <w:i w:val="1"/>
          <w:sz w:val="24"/>
          <w:szCs w:val="24"/>
          <w:rtl w:val="0"/>
        </w:rPr>
        <w:t xml:space="preserve">stakeholder</w:t>
      </w:r>
      <w:r w:rsidDel="00000000" w:rsidR="00000000" w:rsidRPr="00000000">
        <w:rPr>
          <w:rFonts w:ascii="Times New Roman" w:cs="Times New Roman" w:eastAsia="Times New Roman" w:hAnsi="Times New Roman"/>
          <w:sz w:val="24"/>
          <w:szCs w:val="24"/>
          <w:rtl w:val="0"/>
        </w:rPr>
        <w:t xml:space="preserve"> yang terkoordinir dengan baik dalam PKH akan memberikan dampak menguntungkan bagi pemerintah dari segi anggaran, jejaring kelembagaan, dan partisipasi masyarakat. Sehingga PKH dapat memberikan manfaat yang sebesar-besarnya bagi perbaikan kondisi sosial, ekonomi, serta peningkatan kesejahteraan keluarga miskin.</w:t>
      </w:r>
    </w:p>
    <w:p w:rsidR="00000000" w:rsidDel="00000000" w:rsidP="00000000" w:rsidRDefault="00000000" w:rsidRPr="00000000" w14:paraId="0000001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METODE PENELITIAN</w:t>
      </w:r>
    </w:p>
    <w:p w:rsidR="00000000" w:rsidDel="00000000" w:rsidP="00000000" w:rsidRDefault="00000000" w:rsidRPr="00000000" w14:paraId="00000021">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Metode penelitian  yang digunakan adalah metode kualitatif deskriptif. Untuk melengkapi usaha pengumpulan data, maka penelitian ini mengambil data dari berbagai sumber. Sumber data dalam penelitian dibagi menjadi dua jenis, yaitu sumber data primer dan sumber data sekunder.  (1) Data primer yaitu data dikumpulkan oleh peneliti dari sumber pertamanya berupa data awal yang berkaitan dengan </w:t>
      </w:r>
      <w:r w:rsidDel="00000000" w:rsidR="00000000" w:rsidRPr="00000000">
        <w:rPr>
          <w:rFonts w:ascii="Times New Roman" w:cs="Times New Roman" w:eastAsia="Times New Roman" w:hAnsi="Times New Roman"/>
          <w:i w:val="1"/>
          <w:sz w:val="24"/>
          <w:szCs w:val="24"/>
          <w:rtl w:val="0"/>
        </w:rPr>
        <w:t xml:space="preserve">Collaborative Governance </w:t>
      </w:r>
      <w:r w:rsidDel="00000000" w:rsidR="00000000" w:rsidRPr="00000000">
        <w:rPr>
          <w:rFonts w:ascii="Times New Roman" w:cs="Times New Roman" w:eastAsia="Times New Roman" w:hAnsi="Times New Roman"/>
          <w:sz w:val="24"/>
          <w:szCs w:val="24"/>
          <w:rtl w:val="0"/>
        </w:rPr>
        <w:t xml:space="preserve">pada program PKH oleh Dinas Sosial Kota Magelang dalam mengurangi kemiskinan dengan tujuan agar mendapatkan informasi yang jelas. Adapun data primer dalam penelitian ini di peroleh melalui observasi, wawancara dan dokumentasi kelokasi penelitian terkait. </w:t>
      </w:r>
    </w:p>
    <w:p w:rsidR="00000000" w:rsidDel="00000000" w:rsidP="00000000" w:rsidRDefault="00000000" w:rsidRPr="00000000" w14:paraId="00000022">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Data sekunder, yaitu sumber data yang tidak langsung memberikan data kepada pengumpul data. Data sekunder ini merupakan data yang sifatnya mendukung keperluan data primer dan diperoleh dari sumber yang sudah ada, yaitu melalui referensi seperti buku, jurnal, internet serta penelitian terdahulu seperti buku-buku, literatur dan bacaan.</w:t>
      </w:r>
    </w:p>
    <w:p w:rsidR="00000000" w:rsidDel="00000000" w:rsidP="00000000" w:rsidRDefault="00000000" w:rsidRPr="00000000" w14:paraId="00000023">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Teknik pengumpulan data dalam penelitian ini dilakukan dengan berbagai cara antara lain, meliputi wawancara baik yang terstruktur maupun tidak dan studi pustaka yaitu melihat buku-buku, jurnal, dokumen atau bahan bahan lain yang berkaitan dengan penelitian serta dokumentasi [14].</w:t>
      </w:r>
    </w:p>
    <w:p w:rsidR="00000000" w:rsidDel="00000000" w:rsidP="00000000" w:rsidRDefault="00000000" w:rsidRPr="00000000" w14:paraId="00000024">
      <w:pPr>
        <w:spacing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HASIL DAN PEMBAHASAN</w:t>
      </w:r>
    </w:p>
    <w:p w:rsidR="00000000" w:rsidDel="00000000" w:rsidP="00000000" w:rsidRDefault="00000000" w:rsidRPr="00000000" w14:paraId="00000026">
      <w:pPr>
        <w:spacing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Hasil Berdasarkan teori Ansell dan Gash (2008) dalam </w:t>
      </w:r>
      <w:r w:rsidDel="00000000" w:rsidR="00000000" w:rsidRPr="00000000">
        <w:rPr>
          <w:rFonts w:ascii="Times New Roman" w:cs="Times New Roman" w:eastAsia="Times New Roman" w:hAnsi="Times New Roman"/>
          <w:i w:val="1"/>
          <w:sz w:val="24"/>
          <w:szCs w:val="24"/>
          <w:rtl w:val="0"/>
        </w:rPr>
        <w:t xml:space="preserve">Collaborative Governance</w:t>
      </w:r>
      <w:r w:rsidDel="00000000" w:rsidR="00000000" w:rsidRPr="00000000">
        <w:rPr>
          <w:rFonts w:ascii="Times New Roman" w:cs="Times New Roman" w:eastAsia="Times New Roman" w:hAnsi="Times New Roman"/>
          <w:sz w:val="24"/>
          <w:szCs w:val="24"/>
          <w:rtl w:val="0"/>
        </w:rPr>
        <w:t xml:space="preserve"> pada PKH terdapat empat variabel meliputi [15]:</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426"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Kondisi Awal</w:t>
      </w:r>
    </w:p>
    <w:p w:rsidR="00000000" w:rsidDel="00000000" w:rsidP="00000000" w:rsidRDefault="00000000" w:rsidRPr="00000000" w14:paraId="00000028">
      <w:pPr>
        <w:spacing w:after="0" w:line="360" w:lineRule="auto"/>
        <w:ind w:firstLine="42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Pada tahun 2011, Provinsi Jawa Tengah resmi dinyatakan sebagai salah satu provinsi wilayah penerima PKH dengan tujuh kabupaten pertama yang turut serta menerima intervensi PKH yaitu Kabupaten Brebes, Kabupaten Cilacap, Kabupaten Pemalang, Kabupaten Semarang, Kabupaten Rembang, dan Kabupaten Wonogiri. Transformasi wilayah penerima PKH di Jawa Tengah semakin luas, pada tahun 2015 terdapat lima wilayah kota/kabupaten di Jawa Tengah yang belum tersentuh intervensi PKH salah satunya adalah Kota Magelang. </w:t>
      </w:r>
    </w:p>
    <w:p w:rsidR="00000000" w:rsidDel="00000000" w:rsidP="00000000" w:rsidRDefault="00000000" w:rsidRPr="00000000" w14:paraId="00000029">
      <w:pPr>
        <w:spacing w:after="0" w:line="360" w:lineRule="auto"/>
        <w:ind w:firstLine="42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Hingga pada tahun 2015, melalui Surat Keputusan Direktur Jendral Perlindungan dan Jaminan Sosial Nomor  01/LJS/01/2015 tentang Penetapan Lokasi Pengembangan Kabupaten/Kota di Provinsi Pelaksana PKH, Kota Magelang dinyatakan sebagai salah satu wilayah penerima PKH. Kondisi tersebut diawali dari inisiasi pemerintah daerah terutama Walikota Magelang untuk mengajukan diri sebagai wilayah penerima PKH [16].  </w:t>
      </w:r>
    </w:p>
    <w:p w:rsidR="00000000" w:rsidDel="00000000" w:rsidP="00000000" w:rsidRDefault="00000000" w:rsidRPr="00000000" w14:paraId="0000002A">
      <w:pPr>
        <w:spacing w:after="0" w:line="360" w:lineRule="auto"/>
        <w:ind w:firstLine="42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Dengan adanya intervensi PKH, harapannya adalah semakin cepatnya penurunan angka kemiskinan di Kota Magelang. Dalam upaya mewujudkan upaya  program penanggulangan kemiskinan dengan mensinergikan berbagai program perlindungan dan pemberdayaan sosial tersebut terdapat kesadaran pemerintah bahwa PKH tidak bisa berdiri sendiri oleh karena itu pemerintah bersama pemangku kebijakan memiliki peran untuk bersama-sama menyukseskan kebijakan Program Keluarga Harapan di Kota Magelang.</w:t>
      </w:r>
    </w:p>
    <w:p w:rsidR="00000000" w:rsidDel="00000000" w:rsidP="00000000" w:rsidRDefault="00000000" w:rsidRPr="00000000" w14:paraId="0000002B">
      <w:pPr>
        <w:spacing w:after="0" w:line="360" w:lineRule="auto"/>
        <w:ind w:firstLine="42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Dalam proses kolaborasi ini pihak atau aktor yang menjadi mitra dari PKH yaitu, Pemerintah; Kerjasama dengan Dinas Komunikasi Informasi dan Statistika terkait informasi-informasi kerjasama dengan Kepala Bagian Humas, Kepala Bagian Kesejahteraan Rakyat, Dinas Kesehatan, Dinas Pendidikan, Camat dan Lurah, Lembaga-lembaga pemerhati kesejahteraan sosial, Pekerja sosial anak, Koordinator dan Pendamping bantuan sosial pangan, Pendamping Disabilities TKSK, Sektor Bisnis; PT. Pos, Bank Himbara dan Masyarakat. </w:t>
      </w:r>
    </w:p>
    <w:p w:rsidR="00000000" w:rsidDel="00000000" w:rsidP="00000000" w:rsidRDefault="00000000" w:rsidRPr="00000000" w14:paraId="0000002C">
      <w:pPr>
        <w:spacing w:after="0" w:line="360" w:lineRule="auto"/>
        <w:ind w:firstLine="42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Kondisi awal kolaborasi ini terdapat beberapa konflik tiga sektor dengan dua diantaranya diselesaikan dengan kolaborasi, sedangkan dalam permasalahan kekurangan personil ABB diselesaikan melalui rekrutmen  SDM penyaluran PKH.</w:t>
      </w:r>
    </w:p>
    <w:p w:rsidR="00000000" w:rsidDel="00000000" w:rsidP="00000000" w:rsidRDefault="00000000" w:rsidRPr="00000000" w14:paraId="0000002D">
      <w:pPr>
        <w:spacing w:after="0" w:line="360" w:lineRule="auto"/>
        <w:ind w:firstLine="42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Dalam riwayat kolaborasi, Dinas Sosial sebagai pemangku kebijakan selama dua tahun (2015-2016) bekerjasama dengan PT. Pos dalam penyaluran bantuan, dengan adanya perubahan regulasi dari Kementerian Sosial, bahwa penyaluran bansos melalui Bank Himbara (Himpunan Bank Milik Negara) salah satunya melalui BNI. BNI menjadi salah satu bank pertama yang menyatakan siap menjadi </w:t>
      </w:r>
      <w:r w:rsidDel="00000000" w:rsidR="00000000" w:rsidRPr="00000000">
        <w:rPr>
          <w:rFonts w:ascii="Times New Roman" w:cs="Times New Roman" w:eastAsia="Times New Roman" w:hAnsi="Times New Roman"/>
          <w:i w:val="1"/>
          <w:sz w:val="24"/>
          <w:szCs w:val="24"/>
          <w:rtl w:val="0"/>
        </w:rPr>
        <w:t xml:space="preserve">digital banking partner</w:t>
      </w:r>
      <w:r w:rsidDel="00000000" w:rsidR="00000000" w:rsidRPr="00000000">
        <w:rPr>
          <w:rFonts w:ascii="Times New Roman" w:cs="Times New Roman" w:eastAsia="Times New Roman" w:hAnsi="Times New Roman"/>
          <w:sz w:val="24"/>
          <w:szCs w:val="24"/>
          <w:rtl w:val="0"/>
        </w:rPr>
        <w:t xml:space="preserve"> untuk program yang terkait dengan subsidi ataupun bantuan sosial pemerintah, termasuk bansos PKH</w:t>
      </w:r>
      <w:r w:rsidDel="00000000" w:rsidR="00000000" w:rsidRPr="00000000">
        <w:rPr>
          <w:rFonts w:ascii="Times New Roman" w:cs="Times New Roman" w:eastAsia="Times New Roman" w:hAnsi="Times New Roman"/>
          <w:color w:val="333333"/>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 dan menjadi pelopor </w:t>
      </w:r>
      <w:r w:rsidDel="00000000" w:rsidR="00000000" w:rsidRPr="00000000">
        <w:rPr>
          <w:rFonts w:ascii="Times New Roman" w:cs="Times New Roman" w:eastAsia="Times New Roman" w:hAnsi="Times New Roman"/>
          <w:i w:val="1"/>
          <w:sz w:val="24"/>
          <w:szCs w:val="24"/>
          <w:rtl w:val="0"/>
        </w:rPr>
        <w:t xml:space="preserve">digital banking partner</w:t>
      </w:r>
      <w:r w:rsidDel="00000000" w:rsidR="00000000" w:rsidRPr="00000000">
        <w:rPr>
          <w:rFonts w:ascii="Times New Roman" w:cs="Times New Roman" w:eastAsia="Times New Roman" w:hAnsi="Times New Roman"/>
          <w:sz w:val="24"/>
          <w:szCs w:val="24"/>
          <w:rtl w:val="0"/>
        </w:rPr>
        <w:t xml:space="preserve"> dalam menyukseskan penyaluran dana PKH  hingga pada tahun 2017 - Sekarang di Kota Magelang. </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426"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Design Kelembagaan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66" w:right="0"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Proses kolaborasi haruslah memiliki sebuah kelembagaan yang disusun secara resmi dengan memperhatikan partisipasi forum kolaborasi kelembagaan, aturan-aturan dasar yang mendukung kolaborasi (Ansell dan Gash). Sebagaimana  dalam proses kolaborasi PKH di Kota Magelang, yang sudah memiliki dasar hukum pelaksanaan yang berfungsi sebagai aturan dasar dalam melaksanakan kolaborasi, yaitu tertuang dalam Peraturan Menteri Sosial Republik Indonesia Nomor 1 Tahun 2018 BAB III untuk sumber daya pelaksana dan BAB V tentang kelembagaan PKH dengan beberapa stakeholder yang terlibat [17].</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66" w:right="0"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Dengan terbentuknya forum rapat koordinasi dan kelompok PKH. Forum rapat koordinasi tersebut dipimpin oleh Bappeda Kota Magelang sebagai ketua teknis dalam proses kolaborasi berperan dalam inisiasi rapat koordinasi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stakeholder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dan penentuan isu strategis, dengan Dinas Sosial sebagai sekretaris sekaligus pemangku kebijakan PKH dalam menyediakan SDM pelaksana seperti koordinator dan pendamping, mengkoordinir pelaksanaan program di lapangan dan mitra dalam mendukung pelaksanaan program.</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Dalam hal ini, bentuk dari transparansi pengelolaan dibuktikan melalui hasil berita acara rapat rekonsiliasi dan ditandatangani oleh Dinas Sosial dan KC Bank Penyalur yang kemudian Dinas Sosial melaporkan dan mengirimkan berita acara hasil rekonsiliasi yang telah ditandatangani oleh pejabat berwenang ke Dinas Sosial Provinsi. </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426"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Kepemimpinan Fasilitas</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66" w:right="0"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Proses pelaksanaan kolaborasi PKH di Kota Magelang, membutuhkan sebuah arah dalam melakukan negosiasi pembuatan keputusan.  Dalam proses kolaborasi ini dibutuhkan kepemimpinan fasilitas sebagai unsur penting dalam kolaborasi agar dapat berjalan sebagaimana mestinya, sebagaimana teori (Agranoff dan McGuire, 2003; Crosby dan Bryson, 2005) yang menyebutkan bahwa kolaborasi menyediakan berbagai peran untuk para pemimpin formal dan informal [18]. </w:t>
      </w:r>
    </w:p>
    <w:p w:rsidR="00000000" w:rsidDel="00000000" w:rsidP="00000000" w:rsidRDefault="00000000" w:rsidRPr="00000000" w14:paraId="00000034">
      <w:pPr>
        <w:spacing w:line="360" w:lineRule="auto"/>
        <w:ind w:firstLine="42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Dalam aspek ini kepemimpinan fasilitas dipimpin oleh Bappeda dengan dibantu oleh Dinas Sosial, dalam pelaksanaannya Bappeda dan Dinas Sosial telah melakukan perannya seperti dalam mendorong gerakan, inisiasi program dll. Akan tetapi dalam pelaksanaan kepemimpinan tersebut masih terdapat kekurangan dalam hal memberdayakan pihak yang terlibat khususnya pada SDM pelaksana. Kepemimpinan dalam hal ini kurang memberikan dukungan materiil kepada SDM pelaksana, sehingga berdampak proses peningkatan kualitas SDM itu sendiri.</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66" w:right="0" w:firstLine="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Adanya contoh nyata dari bentuk kepemimpinan fasilitas juga terdapat dalam kelompok PKH, dimana pemimpin tersebut memiliki peran sebagai penyambung lidah antara pendamping kepada masyarakat. Peran pemimpin kelompok PKH ini hanya berupa mendorong gerakan tidak sampai kepada level memberikan atau menyediakan fasilitas kepada anggotanya.</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426"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Proses Kolaborasi</w:t>
      </w:r>
    </w:p>
    <w:p w:rsidR="00000000" w:rsidDel="00000000" w:rsidP="00000000" w:rsidRDefault="00000000" w:rsidRPr="00000000" w14:paraId="00000037">
      <w:pPr>
        <w:spacing w:after="0" w:line="360" w:lineRule="auto"/>
        <w:ind w:left="66" w:firstLine="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Proses kolaborasi adalah kegiatan inti dari kolaborasi yang akan dijalankan. Dalam proses kolaborasi menurut ansell dan gash terdapat empat aspek yang harus terdapat di dalamnya yaitu </w:t>
      </w:r>
      <w:r w:rsidDel="00000000" w:rsidR="00000000" w:rsidRPr="00000000">
        <w:rPr>
          <w:rFonts w:ascii="Times New Roman" w:cs="Times New Roman" w:eastAsia="Times New Roman" w:hAnsi="Times New Roman"/>
          <w:i w:val="1"/>
          <w:sz w:val="24"/>
          <w:szCs w:val="24"/>
          <w:rtl w:val="0"/>
        </w:rPr>
        <w:t xml:space="preserve">face to dialogue, trust building, share understanding, commit to process </w:t>
      </w:r>
      <w:r w:rsidDel="00000000" w:rsidR="00000000" w:rsidRPr="00000000">
        <w:rPr>
          <w:rFonts w:ascii="Times New Roman" w:cs="Times New Roman" w:eastAsia="Times New Roman" w:hAnsi="Times New Roman"/>
          <w:sz w:val="24"/>
          <w:szCs w:val="24"/>
          <w:rtl w:val="0"/>
        </w:rPr>
        <w:t xml:space="preserve">dan</w:t>
      </w:r>
      <w:r w:rsidDel="00000000" w:rsidR="00000000" w:rsidRPr="00000000">
        <w:rPr>
          <w:rFonts w:ascii="Times New Roman" w:cs="Times New Roman" w:eastAsia="Times New Roman" w:hAnsi="Times New Roman"/>
          <w:i w:val="1"/>
          <w:sz w:val="24"/>
          <w:szCs w:val="24"/>
          <w:rtl w:val="0"/>
        </w:rPr>
        <w:t xml:space="preserve"> intermediate outcome </w:t>
      </w:r>
      <w:r w:rsidDel="00000000" w:rsidR="00000000" w:rsidRPr="00000000">
        <w:rPr>
          <w:rFonts w:ascii="Times New Roman" w:cs="Times New Roman" w:eastAsia="Times New Roman" w:hAnsi="Times New Roman"/>
          <w:sz w:val="24"/>
          <w:szCs w:val="24"/>
          <w:rtl w:val="0"/>
        </w:rPr>
        <w:t xml:space="preserve">meliputi [19] :</w:t>
      </w:r>
      <w:r w:rsidDel="00000000" w:rsidR="00000000" w:rsidRPr="00000000">
        <w:rPr>
          <w:rFonts w:ascii="Times New Roman" w:cs="Times New Roman" w:eastAsia="Times New Roman" w:hAnsi="Times New Roman"/>
          <w:i w:val="1"/>
          <w:sz w:val="24"/>
          <w:szCs w:val="24"/>
          <w:rtl w:val="0"/>
        </w:rPr>
        <w:t xml:space="preserve"> </w:t>
      </w:r>
    </w:p>
    <w:p w:rsidR="00000000" w:rsidDel="00000000" w:rsidP="00000000" w:rsidRDefault="00000000" w:rsidRPr="00000000" w14:paraId="000000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Face to face dialogue,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dimana bentuk kolaborasi tersebut dibangun dari dialog tatap muka secara langsung dari tiap stakeholder yang terlibat. Sebagaimana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Collaborative Governance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yang berorientasi kan proses, dialog secara langsung sangat penting dalam rangka mengidentifikasi peluang dan keuntungan bersama. Dalam pelaksanaannya di PKH Kota Magelang,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face to face dialogue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diwujudkan melalui rapat koordinasi antar pemangku kebijakan dan kelompok PKH bagi pendamping dan masyarakat setiap satu bulan sekali. Dialogue itu terjalin dengan intens apalagi Dinas Sosial, dalam hal ini diuntungkan dalam segi jarak dan jumlah SDM. Semua SDM pelaksana PKH sebanyak 14 orang bertempat pada satu kantor yang sama yaitu Dinas Sosial memudahkan alur komunikasi dimana setiap terdapat permasalahan dan informasi bisa langsung disampaikan tanpa harus menunggu diadakannya rapat koordinasi oleh Bappeda</w:t>
      </w:r>
    </w:p>
    <w:p w:rsidR="00000000" w:rsidDel="00000000" w:rsidP="00000000" w:rsidRDefault="00000000" w:rsidRPr="00000000" w14:paraId="000000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Aspek yang kedua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trust building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hubungan saling percaya sering digambarkan sebagai inti dari kolaborasi. Ada paradoks antara kolaborasi dan kepercayaan (seperti pelumas dan lem) yaitu memfasilitasi kolaborasi dan menyatukan kolaborasi tersebut. Kepercayaan terdiri dari perilaku interpersonal, kepercayaan dalam kompetensi organisasi dan kinerja yang diharapkan, serta ikatan yang sama dan niat baik (Chen dan Graddy, 2005) [20]. Pada proses pembentukan kepercayaan di PKH Kota Magelang, tidak menemukan kendala yang berarti adanya komunikasi yang intens dan kegiatan berbagai kegiatan seperti transparansi pengelolaan, monitoring evaluasi dari koordinator kepada pendamping, monitoring evaluasi dan pendekatan interpersonal dari pendamping ke masyarakat dan pemerintah desa menjadi faktor yang mendukung terjalinnya kepercayaan antar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stakeholder.</w:t>
      </w:r>
    </w:p>
    <w:p w:rsidR="00000000" w:rsidDel="00000000" w:rsidP="00000000" w:rsidRDefault="00000000" w:rsidRPr="00000000" w14:paraId="000000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Aspek ketiga yaitu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commit to process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menurut Ansell dan Gash komitmen memiliki relasi yang kuat dalam proses kolaborasi. Komitmen merupakan motivasi untuk terus berpartisipasi dalam proses kolaborasi. Diperlukan komitmen yang kuat dari setiap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stakeholder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guna mencegah resiko dari proses kolaborasi. Dalam pelaksanaan komitmen di PKH Kota Magelang diwujudkan melalui adanya SK, kesadaran akan kontrak kerja dan kode etik yang ada. Dengan memiliki dasar dan aturan yang jelas mendorong masing-masing stakeholder untuk terus menjalankan perannya sesuai dengan komitmen yang telah disepakati. Masyarakat sebagai penerima manfaat juga ikut serta dalam menjalankan komitmen nya dengan wujud kehadiran dalam forum, kesesuaian komponen dalam pemanfaatan fasdik dan faskes. </w:t>
      </w:r>
    </w:p>
    <w:p w:rsidR="00000000" w:rsidDel="00000000" w:rsidP="00000000" w:rsidRDefault="00000000" w:rsidRPr="00000000" w14:paraId="000000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Dalam implementasinya komitmen tersebut mengikat bagi para aktor sehingga sampai saat ini belum terdapat kasus adanya pelanggaran komitmen yang dilakukan baik oleh pemerintah maupun masyarakat. Langkah preventif yang dilakukan oleh SDM PKH dalam upaya mencegah pelanggaran komitmen melalui pembinaan, tidak langsung dijatuhi hukuman atau surat peringatan. Meski demikian, besarnya komitmen para aktor pelaksana PKH belum didukung dengan dana dampingan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sharing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hasil wawancara dengan Koordinator PKH Kota Magelang bahwa pelaksanaan PKH di Kota terkendala dalam dana operasional yang hanya memuat 1 sampai 2% saja. Berdasarkan pedoman pelaksanaan PKH 2019 pemerintah Kota wajib memberikan alokasi sebesar 5% dari bantuan sosial PKH untuk operasional PKH.</w:t>
      </w:r>
    </w:p>
    <w:p w:rsidR="00000000" w:rsidDel="00000000" w:rsidP="00000000" w:rsidRDefault="00000000" w:rsidRPr="00000000" w14:paraId="000000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Aspek keempat yaitu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share understanding,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menurut Ansell dan Gash Sahare understanding, dapat digambarkan melalui misi bersama dan ideologi yang sama. Adanya kesalahpahaman dapat berpengaruh terhadap kesepakatan bersama untuk memaknai dan mengartikan suatu masalah. Dalam berbagi pemahaman lintas sektoral di kolaborasi PKH Kota Magelang tidak mudah untuk dilakukan. Mengingat pada awal kolaborasi masih terdapat ketegangan dan keberagaman persepsi yang perlu untuk disatukan menjadi satu tujuan yang sama.</w:t>
      </w:r>
    </w:p>
    <w:p w:rsidR="00000000" w:rsidDel="00000000" w:rsidP="00000000" w:rsidRDefault="00000000" w:rsidRPr="00000000" w14:paraId="000000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Aspek terakhir adalah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intermediate outcome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atau hasil jangka menengah pendek dari proses kolaborasi. Menurut Ansell Dan Gash, hasil lanjutan dari proses kolaborasi terwujud dalam bentuk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output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atau keluaran yang nyata. Dalam proses kolaborasi yang dijalankan PKH Kota Magelang, terbukti nyata menghasilkan sebuah output yaitu berupa tercapainya target gradasi KPM menjadikan PKH di Kota Magelang mendapat apresiasi dai pemerintah provinsi sebagai Harapan Terbaik di Provinsi Jawa Tengah, keberhasilan tersebut tidak lepas dari adanya sinergitas dan komitmen antar aktor dalam mendukung setiap pelaksanaan program.</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426"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SIMPULAN</w:t>
      </w:r>
    </w:p>
    <w:p w:rsidR="00000000" w:rsidDel="00000000" w:rsidP="00000000" w:rsidRDefault="00000000" w:rsidRPr="00000000" w14:paraId="00000040">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Bermula dari resminya Kota Magelang sebagai wilayah penerima PKH. Dengan perbedaan kewenangan dari tiap sektor dan adanya kesadaran bersama pemangku kepentingan bahwa PKH yang berhasil membutuhkan sinergitas lintas sektor yang didasarkan pada Peraturan Menteri Sosial Nomor 18 Tahun 2017 tentang Pelimpahan Kewenangan Dekonsentrasi dan Penugasan Tugas Pembantuan Kepada Dinas Sosial Daerah Provinsi dan Dinas Sosial Kabupaten/Kota. Adapun lembaga yang bekerjasama dalam kolaborasi ini melibatkan tiga sektor yaitu pemerintah, sektor bisnis dan masyarakat. </w:t>
      </w:r>
    </w:p>
    <w:p w:rsidR="00000000" w:rsidDel="00000000" w:rsidP="00000000" w:rsidRDefault="00000000" w:rsidRPr="00000000" w14:paraId="00000041">
      <w:pPr>
        <w:spacing w:line="360" w:lineRule="auto"/>
        <w:ind w:firstLine="42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Proses kolaborasi ini berjalan dengan baik melalui pertemuan tatap muka di forum rapat koordinasi dan kelompok PKH, dengan kepemimpinan fasilitas yang mengambil peran sebagai penengah musyawarah dan kepercayaan masing-masing stakeholder menyukseskan kolaborasi dengan membawa hasil PKH Kota Magelang menjadi Juara Harapan di Provinsi Jawa Tengah. Walaupun dalam proses tersebut tetapi masih ada fenomena yang kurang optimal dalam pelaksanaannya yaitu terkait komunikasi pihak Dinas Sosial kepada DPRD dalam hal sumber dana (dana </w:t>
      </w:r>
      <w:r w:rsidDel="00000000" w:rsidR="00000000" w:rsidRPr="00000000">
        <w:rPr>
          <w:rFonts w:ascii="Times New Roman" w:cs="Times New Roman" w:eastAsia="Times New Roman" w:hAnsi="Times New Roman"/>
          <w:i w:val="1"/>
          <w:sz w:val="24"/>
          <w:szCs w:val="24"/>
          <w:rtl w:val="0"/>
        </w:rPr>
        <w:t xml:space="preserve">sharing)</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2">
      <w:pPr>
        <w:spacing w:line="360" w:lineRule="auto"/>
        <w:ind w:firstLine="426"/>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color w:val="000000"/>
          <w:sz w:val="24"/>
          <w:szCs w:val="24"/>
          <w:rtl w:val="0"/>
        </w:rPr>
        <w:t xml:space="preserve">Dari hasil penelitian yang diperoleh,  maka saran yang dapat peneliti ajukan adalah </w:t>
      </w:r>
      <w:r w:rsidDel="00000000" w:rsidR="00000000" w:rsidRPr="00000000">
        <w:rPr>
          <w:rFonts w:ascii="Times New Roman" w:cs="Times New Roman" w:eastAsia="Times New Roman" w:hAnsi="Times New Roman"/>
          <w:sz w:val="24"/>
          <w:szCs w:val="24"/>
          <w:rtl w:val="0"/>
        </w:rPr>
        <w:t xml:space="preserve">Perlu diperluas jangkauan kolaborasi yang ada, dengan melibatkan peran dari media cetak mengingat akses masyarakat terhadap media massa relatif tinggi. Terkait sumber dana keuangan, perlu dikomunikasikan lebih intens antara Pihak Dinas Sosial dengan DPRD dan Wali Kota agar terpenuhinya dana </w:t>
      </w:r>
      <w:r w:rsidDel="00000000" w:rsidR="00000000" w:rsidRPr="00000000">
        <w:rPr>
          <w:rFonts w:ascii="Times New Roman" w:cs="Times New Roman" w:eastAsia="Times New Roman" w:hAnsi="Times New Roman"/>
          <w:i w:val="1"/>
          <w:sz w:val="24"/>
          <w:szCs w:val="24"/>
          <w:rtl w:val="0"/>
        </w:rPr>
        <w:t xml:space="preserve">sharing</w:t>
      </w:r>
      <w:r w:rsidDel="00000000" w:rsidR="00000000" w:rsidRPr="00000000">
        <w:rPr>
          <w:rFonts w:ascii="Times New Roman" w:cs="Times New Roman" w:eastAsia="Times New Roman" w:hAnsi="Times New Roman"/>
          <w:sz w:val="24"/>
          <w:szCs w:val="24"/>
          <w:rtl w:val="0"/>
        </w:rPr>
        <w:t xml:space="preserve"> sesuai dengan ketentuan yang berlaku. Selain itu, perlu dilakukan perencanaan kembali terkait prioritas guna menghemat anggaran dan dana yang ada dikelola lebih efektif dan efisien lagi. </w:t>
      </w:r>
      <w:r w:rsidDel="00000000" w:rsidR="00000000" w:rsidRPr="00000000">
        <w:rPr>
          <w:rtl w:val="0"/>
        </w:rPr>
      </w:r>
    </w:p>
    <w:p w:rsidR="00000000" w:rsidDel="00000000" w:rsidP="00000000" w:rsidRDefault="00000000" w:rsidRPr="00000000" w14:paraId="00000043">
      <w:pPr>
        <w:spacing w:line="360" w:lineRule="auto"/>
        <w:ind w:firstLine="567"/>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4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DAFTAR PUSTAKA</w:t>
      </w:r>
    </w:p>
    <w:p w:rsidR="00000000" w:rsidDel="00000000" w:rsidP="00000000" w:rsidRDefault="00000000" w:rsidRPr="00000000" w14:paraId="0000004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Solikatun, Supomo dkk. Kemiskinan dalam Pembangunan. Jurnal Analisa Sosiologi. 2014.</w:t>
      </w:r>
    </w:p>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Prawoto Nano. Memahami Kemiskinan dan Strategi Penanggulangannya. Universitas Muhammadiyah Yogyakarta. Jurnal Ekonomi dan Studi Pembangunan. 2009.</w:t>
      </w:r>
    </w:p>
    <w:p w:rsidR="00000000" w:rsidDel="00000000" w:rsidP="00000000" w:rsidRDefault="00000000" w:rsidRPr="00000000" w14:paraId="000000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Prosentase Penduduk Miskin. Diakses melalui </w:t>
      </w:r>
      <w:hyperlink r:id="rId15">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https://www.bps.go.id/pressrelease/2021/02/15/1851/persentase-penduduk-miskin-september-2020-naik-menjadi-10-19-persen.html</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27 November 2021.</w:t>
      </w:r>
    </w:p>
    <w:p w:rsidR="00000000" w:rsidDel="00000000" w:rsidP="00000000" w:rsidRDefault="00000000" w:rsidRPr="00000000" w14:paraId="000000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Rencana Aksi Daerah Provinsi Jawa Tengah tahun 2021. </w:t>
      </w:r>
    </w:p>
    <w:p w:rsidR="00000000" w:rsidDel="00000000" w:rsidP="00000000" w:rsidRDefault="00000000" w:rsidRPr="00000000" w14:paraId="0000004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Rencana Strategis Perangkat Daerah Kota Magelang Tahun 2016-2021.</w:t>
      </w:r>
    </w:p>
    <w:p w:rsidR="00000000" w:rsidDel="00000000" w:rsidP="00000000" w:rsidRDefault="00000000" w:rsidRPr="00000000" w14:paraId="0000004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Sholeh Maimun,. Kemiskinan:Telaah dan beberapa Penanggulanganya. Universitas Negeri Yogyakarta.</w:t>
      </w:r>
    </w:p>
    <w:p w:rsidR="00000000" w:rsidDel="00000000" w:rsidP="00000000" w:rsidRDefault="00000000" w:rsidRPr="00000000" w14:paraId="0000004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Kementrian Sosial Indonesia. PKH dan SGDs. Seminar FKIP. 2019</w:t>
      </w:r>
    </w:p>
    <w:p w:rsidR="00000000" w:rsidDel="00000000" w:rsidP="00000000" w:rsidRDefault="00000000" w:rsidRPr="00000000" w14:paraId="0000004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Rencana Pembangunan Jangka Menengah Daerah Kota Magelang Tahun 2016-2021Peraturan Pemerintah Nomor 53 Tahun 2010 Tentang Disiplin Pegawa Negeri Sipil</w:t>
      </w:r>
    </w:p>
    <w:p w:rsidR="00000000" w:rsidDel="00000000" w:rsidP="00000000" w:rsidRDefault="00000000" w:rsidRPr="00000000" w14:paraId="0000004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Susanto, Irwan (2019) Program Keluarga Harapan (PKH)</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Diakses melalui</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 </w:t>
      </w:r>
      <w:hyperlink r:id="rId16">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https://kemensos.go.id/program-keluarga-harapan-pkh</w:t>
        </w:r>
      </w:hyperlink>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pada 16 Januari 2022.</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Astuti, Retno Seno dkk.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Collaborative Governance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dalam prespektif Administrasi Publik. Universitas Diponegoro Press. Cetakan pertama Juni 2020</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Admin, Apa Itu Program Keluarga Harapan. Diakses melalui </w:t>
      </w:r>
      <w:hyperlink r:id="rId17">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https://pkh.kemensos.go.id/?pg=tentangpkh-1</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pada 27 Oktober 2021.</w:t>
      </w:r>
    </w:p>
    <w:p w:rsidR="00000000" w:rsidDel="00000000" w:rsidP="00000000" w:rsidRDefault="00000000" w:rsidRPr="00000000" w14:paraId="000000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Arif, Ritha Delphina (2020). Implementasi Program Keluarga Harapan di Kota Magelang. Repository Untidar.</w:t>
      </w:r>
    </w:p>
    <w:p w:rsidR="00000000" w:rsidDel="00000000" w:rsidP="00000000" w:rsidRDefault="00000000" w:rsidRPr="00000000" w14:paraId="0000005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Andreas H. E Koyongian, Lucky O.H. Dutulong. Analisis Disiplin Kerja, Tingkat pendidikan, Pengembangan Karir Terhadap Kinerja Pegawai Pada Dinas Sosial Provinsi Sulawesi Utara. Universitas Sam Ratulangi Manado. ISSN 2303-1174</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Sugiyono. Metode Penelitian Kuantitatif, Kualitatif, dan R&amp;D. Bandung: Alfabeta. 2016.</w:t>
      </w:r>
    </w:p>
    <w:p w:rsidR="00000000" w:rsidDel="00000000" w:rsidP="00000000" w:rsidRDefault="00000000" w:rsidRPr="00000000" w14:paraId="0000005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Tilano, Fawwaz Aldi &amp; Sri Suwitri.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Collaborative Governance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dalam Upaya Keselamatan Lalu Lintas dan Angkutan Jalan di Kota Semarang. Jurnal Departemen Administrasi Publik Fakultas Ilmu Sosial dan Ilmu Politik, Univeristas Diponegoro. 2019</w:t>
      </w:r>
    </w:p>
    <w:p w:rsidR="00000000" w:rsidDel="00000000" w:rsidP="00000000" w:rsidRDefault="00000000" w:rsidRPr="00000000" w14:paraId="000000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Surat Keputusan Direktur Jendral Perlindungan dan Jaminan Sosial Nomor  01/LJS/01/2015 tentang Penetapan Lokasi Pengembangan Kabupaten/Kota di Provinsi Pelaksana PKH.</w:t>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Peraturan Menteri Sosial Republik Indonesia Nomor 1 Tahun 2018 </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Astuti, Retno Seno dkk.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Collaborative Governance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dalam prespektif Administrasi Publik. Universitas Diponegoro Press. Cetakan pertama Juni 2020</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Ansell, Chris and Alison Gash.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Collaborative governance in theory and practice”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Journal of Public Administration Research and Theory</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18</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(4), 543–571. 2008</w:t>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Astuti, Retno Seno dkk.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Collaborative Governance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dalam prespektif Administrasi Publik. Universitas Diponegoro Press. Cetakan pertama Juni 2020.</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5B">
      <w:pPr>
        <w:spacing w:line="360" w:lineRule="auto"/>
        <w:ind w:firstLine="56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line="360" w:lineRule="auto"/>
        <w:ind w:firstLine="56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line="360" w:lineRule="auto"/>
        <w:ind w:firstLine="56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line="360" w:lineRule="auto"/>
        <w:ind w:firstLine="56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line="360" w:lineRule="auto"/>
        <w:ind w:firstLine="56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spacing w:line="360" w:lineRule="auto"/>
        <w:ind w:firstLine="56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line="360" w:lineRule="auto"/>
        <w:ind w:firstLine="56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line="360" w:lineRule="auto"/>
        <w:ind w:firstLine="56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line="360" w:lineRule="auto"/>
        <w:ind w:firstLine="56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line="360" w:lineRule="auto"/>
        <w:ind w:firstLine="56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pacing w:line="360" w:lineRule="auto"/>
        <w:ind w:firstLine="56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line="360" w:lineRule="auto"/>
        <w:ind w:firstLine="56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spacing w:line="360" w:lineRule="auto"/>
        <w:ind w:firstLine="56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spacing w:line="360" w:lineRule="auto"/>
        <w:ind w:firstLine="56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line="360" w:lineRule="auto"/>
        <w:ind w:firstLine="56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line="360" w:lineRule="auto"/>
        <w:ind w:firstLine="56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line="360" w:lineRule="auto"/>
        <w:rPr>
          <w:rFonts w:ascii="Times New Roman" w:cs="Times New Roman" w:eastAsia="Times New Roman" w:hAnsi="Times New Roman"/>
          <w:sz w:val="24"/>
          <w:szCs w:val="24"/>
        </w:rPr>
      </w:pPr>
      <w:r w:rsidDel="00000000" w:rsidR="00000000" w:rsidRPr="00000000">
        <w:rPr>
          <w:rtl w:val="0"/>
        </w:rPr>
      </w:r>
    </w:p>
    <w:sectPr>
      <w:type w:val="continuous"/>
      <w:pgSz w:h="16838" w:w="11906" w:orient="portrait"/>
      <w:pgMar w:bottom="1134" w:top="1701" w:left="1418" w:right="1134" w:header="709" w:footer="709"/>
      <w:pgNumType w:start="1"/>
      <w:cols w:equalWidth="0" w:num="2">
        <w:col w:space="567" w:w="4393.5"/>
        <w:col w:space="0" w:w="4393.5"/>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9570.0" w:type="dxa"/>
      <w:jc w:val="left"/>
      <w:tblInd w:w="0.0" w:type="dxa"/>
      <w:tblLayout w:type="fixed"/>
      <w:tblLook w:val="0400"/>
    </w:tblPr>
    <w:tblGrid>
      <w:gridCol w:w="7656"/>
      <w:gridCol w:w="1914"/>
      <w:tblGridChange w:id="0">
        <w:tblGrid>
          <w:gridCol w:w="7656"/>
          <w:gridCol w:w="1914"/>
        </w:tblGrid>
      </w:tblGridChange>
    </w:tblGrid>
    <w:tr>
      <w:trPr>
        <w:cantSplit w:val="0"/>
        <w:trHeight w:val="727" w:hRule="atLeast"/>
        <w:tblHeader w:val="0"/>
      </w:trPr>
      <w:tc>
        <w:tcPr>
          <w:tcBorders>
            <w:right w:color="5b9bd5" w:space="0" w:sz="4" w:val="single"/>
          </w:tcBorders>
          <w:tcMar>
            <w:top w:w="0.0" w:type="dxa"/>
            <w:left w:w="108.0" w:type="dxa"/>
            <w:bottom w:w="0.0" w:type="dxa"/>
            <w:right w:w="108.0" w:type="dxa"/>
          </w:tcMar>
        </w:tcPr>
        <w:p w:rsidR="00000000" w:rsidDel="00000000" w:rsidP="00000000" w:rsidRDefault="00000000" w:rsidRPr="00000000" w14:paraId="00000070">
          <w:pPr>
            <w:tabs>
              <w:tab w:val="left" w:pos="620"/>
              <w:tab w:val="center" w:pos="4320"/>
            </w:tabs>
            <w:jc w:val="right"/>
            <w:rPr>
              <w:rFonts w:ascii="Calibri" w:cs="Calibri" w:eastAsia="Calibri" w:hAnsi="Calibri"/>
              <w:sz w:val="20"/>
              <w:szCs w:val="20"/>
            </w:rPr>
          </w:pPr>
          <w:r w:rsidDel="00000000" w:rsidR="00000000" w:rsidRPr="00000000">
            <w:rPr>
              <w:rFonts w:ascii="Times New Roman" w:cs="Times New Roman" w:eastAsia="Times New Roman" w:hAnsi="Times New Roman"/>
              <w:rtl w:val="0"/>
            </w:rPr>
            <w:t xml:space="preserve">Penulis -  3 kata pertama judul jurnal……………………………………………</w:t>
          </w:r>
          <w:r w:rsidDel="00000000" w:rsidR="00000000" w:rsidRPr="00000000">
            <w:rPr>
              <w:rtl w:val="0"/>
            </w:rPr>
          </w:r>
        </w:p>
      </w:tc>
      <w:tc>
        <w:tcPr>
          <w:tcBorders>
            <w:left w:color="5b9bd5" w:space="0" w:sz="4" w:val="single"/>
          </w:tcBorders>
          <w:tcMar>
            <w:top w:w="0.0" w:type="dxa"/>
            <w:left w:w="108.0" w:type="dxa"/>
            <w:bottom w:w="0.0" w:type="dxa"/>
            <w:right w:w="108.0" w:type="dxa"/>
          </w:tcMar>
        </w:tcPr>
        <w:p w:rsidR="00000000" w:rsidDel="00000000" w:rsidP="00000000" w:rsidRDefault="00000000" w:rsidRPr="00000000" w14:paraId="00000071">
          <w:pPr>
            <w:tabs>
              <w:tab w:val="left" w:pos="1490"/>
            </w:tabs>
            <w:rPr>
              <w:rFonts w:ascii="Calibri" w:cs="Calibri" w:eastAsia="Calibri" w:hAnsi="Calibri"/>
              <w:sz w:val="28"/>
              <w:szCs w:val="28"/>
            </w:rPr>
          </w:pP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tc>
    </w:tr>
  </w:tbl>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left" w:pos="7230"/>
        <w:tab w:val="left" w:pos="7371"/>
        <w:tab w:val="right" w:pos="9026"/>
      </w:tabs>
      <w:spacing w:after="0" w:before="0" w:line="240" w:lineRule="auto"/>
      <w:ind w:left="0" w:right="0" w:firstLine="0"/>
      <w:jc w:val="right"/>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Jurnal Mahasiswa Administrasi Negara (JMAN), Vol. </w:t>
    </w: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No.</w:t>
    </w:r>
    <w:r w:rsidDel="00000000" w:rsidR="00000000" w:rsidRPr="00000000">
      <w:rPr>
        <w:rFonts w:ascii="Times New Roman" w:cs="Times New Roman" w:eastAsia="Times New Roman" w:hAnsi="Times New Roman"/>
        <w:rtl w:val="0"/>
      </w:rPr>
      <w:t xml:space="preserve"> 1</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Mei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2022</w:t>
      <w:tab/>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 e ISSN </w:t>
    </w:r>
    <w:r w:rsidDel="00000000" w:rsidR="00000000" w:rsidRPr="00000000">
      <w:rPr>
        <w:rFonts w:ascii="Times New Roman" w:cs="Times New Roman" w:eastAsia="Times New Roman" w:hAnsi="Times New Roman"/>
        <w:u w:val="single"/>
        <w:rtl w:val="0"/>
      </w:rPr>
      <w:t xml:space="preserve">2614-4220 </w:t>
    </w:r>
    <w:r w:rsidDel="00000000" w:rsidR="00000000" w:rsidRPr="00000000">
      <w:rPr>
        <w:rFonts w:ascii="Times New Roman" w:cs="Times New Roman" w:eastAsia="Times New Roman" w:hAnsi="Times New Roman"/>
        <w:rtl w:val="0"/>
      </w:rPr>
      <w:t xml:space="preserve">ISSN : 2222-3333</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left" w:pos="7230"/>
        <w:tab w:val="left" w:pos="7371"/>
        <w:tab w:val="right" w:pos="9026"/>
      </w:tabs>
      <w:spacing w:after="0" w:before="0" w:line="240" w:lineRule="auto"/>
      <w:ind w:left="0" w:right="0" w:firstLine="0"/>
      <w:jc w:val="righ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927" w:hanging="360"/>
      </w:pPr>
      <w:rPr/>
    </w:lvl>
    <w:lvl w:ilvl="1">
      <w:start w:val="1"/>
      <w:numFmt w:val="lowerLetter"/>
      <w:lvlText w:val="%2."/>
      <w:lvlJc w:val="left"/>
      <w:pPr>
        <w:ind w:left="1647" w:hanging="360"/>
      </w:pPr>
      <w:rPr/>
    </w:lvl>
    <w:lvl w:ilvl="2">
      <w:start w:val="1"/>
      <w:numFmt w:val="lowerRoman"/>
      <w:lvlText w:val="%3."/>
      <w:lvlJc w:val="right"/>
      <w:pPr>
        <w:ind w:left="2367" w:hanging="180"/>
      </w:pPr>
      <w:rPr/>
    </w:lvl>
    <w:lvl w:ilvl="3">
      <w:start w:val="1"/>
      <w:numFmt w:val="decimal"/>
      <w:lvlText w:val="%4."/>
      <w:lvlJc w:val="left"/>
      <w:pPr>
        <w:ind w:left="3087" w:hanging="360"/>
      </w:pPr>
      <w:rPr/>
    </w:lvl>
    <w:lvl w:ilvl="4">
      <w:start w:val="1"/>
      <w:numFmt w:val="lowerLetter"/>
      <w:lvlText w:val="%5."/>
      <w:lvlJc w:val="left"/>
      <w:pPr>
        <w:ind w:left="3807" w:hanging="360"/>
      </w:pPr>
      <w:rPr/>
    </w:lvl>
    <w:lvl w:ilvl="5">
      <w:start w:val="1"/>
      <w:numFmt w:val="lowerRoman"/>
      <w:lvlText w:val="%6."/>
      <w:lvlJc w:val="right"/>
      <w:pPr>
        <w:ind w:left="4527" w:hanging="180"/>
      </w:pPr>
      <w:rPr/>
    </w:lvl>
    <w:lvl w:ilvl="6">
      <w:start w:val="1"/>
      <w:numFmt w:val="decimal"/>
      <w:lvlText w:val="%7."/>
      <w:lvlJc w:val="left"/>
      <w:pPr>
        <w:ind w:left="5247" w:hanging="360"/>
      </w:pPr>
      <w:rPr/>
    </w:lvl>
    <w:lvl w:ilvl="7">
      <w:start w:val="1"/>
      <w:numFmt w:val="lowerLetter"/>
      <w:lvlText w:val="%8."/>
      <w:lvlJc w:val="left"/>
      <w:pPr>
        <w:ind w:left="5967" w:hanging="360"/>
      </w:pPr>
      <w:rPr/>
    </w:lvl>
    <w:lvl w:ilvl="8">
      <w:start w:val="1"/>
      <w:numFmt w:val="lowerRoman"/>
      <w:lvlText w:val="%9."/>
      <w:lvlJc w:val="right"/>
      <w:pPr>
        <w:ind w:left="6687" w:hanging="180"/>
      </w:pPr>
      <w:rPr/>
    </w:lvl>
  </w:abstractNum>
  <w:abstractNum w:abstractNumId="2">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1"/>
      <w:numFmt w:val="decimal"/>
      <w:lvlText w:val="[%1]"/>
      <w:lvlJc w:val="left"/>
      <w:pPr>
        <w:ind w:left="360" w:hanging="360"/>
      </w:pPr>
      <w:rPr>
        <w:sz w:val="20"/>
        <w:szCs w:val="2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ID"/>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spacing w:after="60" w:before="240" w:line="240" w:lineRule="auto"/>
      <w:ind w:left="360" w:hanging="360"/>
    </w:pPr>
    <w:rPr>
      <w:rFonts w:ascii="Arial" w:cs="Arial" w:eastAsia="Arial" w:hAnsi="Arial"/>
      <w:b w:val="1"/>
      <w:sz w:val="26"/>
      <w:szCs w:val="26"/>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jc w:val="center"/>
    </w:pPr>
    <w:rPr>
      <w:b w:val="1"/>
      <w:sz w:val="28"/>
      <w:szCs w:val="28"/>
    </w:rPr>
  </w:style>
  <w:style w:type="paragraph" w:styleId="Normal" w:default="1">
    <w:name w:val="Normal"/>
    <w:qFormat w:val="1"/>
    <w:rsid w:val="00723A10"/>
    <w:pPr>
      <w:spacing w:after="160" w:line="259" w:lineRule="auto"/>
    </w:pPr>
    <w:rPr>
      <w:rFonts w:ascii="Calibri" w:eastAsia="Calibri"/>
      <w:sz w:val="22"/>
      <w:szCs w:val="22"/>
      <w:lang w:bidi="en-US" w:eastAsia="en-US"/>
    </w:rPr>
  </w:style>
  <w:style w:type="paragraph" w:styleId="Heading3">
    <w:name w:val="heading 3"/>
    <w:basedOn w:val="Normal"/>
    <w:next w:val="Normal"/>
    <w:link w:val="Heading3Char"/>
    <w:uiPriority w:val="9"/>
    <w:qFormat w:val="1"/>
    <w:rsid w:val="00723A10"/>
    <w:pPr>
      <w:keepNext w:val="1"/>
      <w:numPr>
        <w:ilvl w:val="2"/>
        <w:numId w:val="5"/>
      </w:numPr>
      <w:spacing w:after="60" w:before="240" w:line="240" w:lineRule="auto"/>
      <w:outlineLvl w:val="2"/>
    </w:pPr>
    <w:rPr>
      <w:rFonts w:ascii="Arial" w:eastAsia="SimSun" w:hAnsi="Arial"/>
      <w:b w:val="1"/>
      <w:bCs w:val="1"/>
      <w:sz w:val="26"/>
      <w:szCs w:val="26"/>
      <w:lang w:bidi="zh-CN" w:eastAsia="zh-CN" w:val="en-AU"/>
    </w:rPr>
  </w:style>
  <w:style w:type="paragraph" w:styleId="Heading4">
    <w:name w:val="heading 4"/>
    <w:basedOn w:val="Normal"/>
    <w:next w:val="Normal"/>
    <w:link w:val="Heading4Char"/>
    <w:uiPriority w:val="9"/>
    <w:semiHidden w:val="1"/>
    <w:unhideWhenUsed w:val="1"/>
    <w:qFormat w:val="1"/>
    <w:rsid w:val="007D57B1"/>
    <w:pPr>
      <w:keepNext w:val="1"/>
      <w:keepLines w:val="1"/>
      <w:spacing w:after="0" w:before="200"/>
      <w:outlineLvl w:val="3"/>
    </w:pPr>
    <w:rPr>
      <w:rFonts w:asciiTheme="majorHAnsi" w:cstheme="majorBidi" w:eastAsiaTheme="majorEastAsia" w:hAnsiTheme="majorHAnsi"/>
      <w:b w:val="1"/>
      <w:bCs w:val="1"/>
      <w:i w:val="1"/>
      <w:iCs w:val="1"/>
      <w:color w:val="4f81bd" w:themeColor="accent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CommentTextChar" w:customStyle="1">
    <w:name w:val="Comment Text Char"/>
    <w:basedOn w:val="DefaultParagraphFont"/>
    <w:link w:val="CommentText"/>
    <w:rsid w:val="00723A10"/>
    <w:rPr>
      <w:sz w:val="20"/>
      <w:szCs w:val="20"/>
    </w:rPr>
  </w:style>
  <w:style w:type="paragraph" w:styleId="Footer">
    <w:name w:val="footer"/>
    <w:basedOn w:val="Normal"/>
    <w:link w:val="FooterChar"/>
    <w:rsid w:val="00723A10"/>
    <w:pPr>
      <w:spacing w:after="0" w:line="240" w:lineRule="auto"/>
    </w:pPr>
  </w:style>
  <w:style w:type="character" w:styleId="BalloonTextChar" w:customStyle="1">
    <w:name w:val="Balloon Text Char"/>
    <w:basedOn w:val="DefaultParagraphFont"/>
    <w:link w:val="BalloonText"/>
    <w:rsid w:val="00723A10"/>
    <w:rPr>
      <w:rFonts w:ascii="Segoe UI" w:eastAsia="Segoe UI"/>
      <w:sz w:val="18"/>
      <w:szCs w:val="18"/>
    </w:rPr>
  </w:style>
  <w:style w:type="paragraph" w:styleId="BalloonText">
    <w:name w:val="Balloon Text"/>
    <w:basedOn w:val="Normal"/>
    <w:link w:val="BalloonTextChar"/>
    <w:rsid w:val="00723A10"/>
    <w:pPr>
      <w:spacing w:after="0" w:line="240" w:lineRule="auto"/>
    </w:pPr>
    <w:rPr>
      <w:rFonts w:ascii="Segoe UI" w:eastAsia="Segoe UI"/>
      <w:sz w:val="18"/>
      <w:szCs w:val="18"/>
    </w:rPr>
  </w:style>
  <w:style w:type="character" w:styleId="Heading3Char" w:customStyle="1">
    <w:name w:val="Heading 3 Char"/>
    <w:basedOn w:val="DefaultParagraphFont"/>
    <w:link w:val="Heading3"/>
    <w:uiPriority w:val="9"/>
    <w:rsid w:val="00723A10"/>
    <w:rPr>
      <w:rFonts w:ascii="Arial" w:eastAsia="SimSun" w:hAnsi="Arial"/>
      <w:b w:val="1"/>
      <w:bCs w:val="1"/>
      <w:sz w:val="26"/>
      <w:szCs w:val="26"/>
      <w:lang w:bidi="zh-CN" w:eastAsia="zh-CN" w:val="en-AU"/>
    </w:rPr>
  </w:style>
  <w:style w:type="paragraph" w:styleId="Header">
    <w:name w:val="header"/>
    <w:basedOn w:val="Normal"/>
    <w:link w:val="HeaderChar"/>
    <w:rsid w:val="00723A10"/>
    <w:pPr>
      <w:spacing w:after="0" w:line="240" w:lineRule="auto"/>
    </w:pPr>
  </w:style>
  <w:style w:type="character" w:styleId="longtext" w:customStyle="1">
    <w:name w:val="long_text"/>
    <w:basedOn w:val="DefaultParagraphFont"/>
    <w:rsid w:val="00723A10"/>
  </w:style>
  <w:style w:type="paragraph" w:styleId="IEEEReferenceItem" w:customStyle="1">
    <w:name w:val="IEEE Reference Item"/>
    <w:basedOn w:val="Normal"/>
    <w:rsid w:val="00723A10"/>
    <w:pPr>
      <w:numPr>
        <w:numId w:val="5"/>
      </w:numPr>
      <w:adjustRightInd w:val="0"/>
      <w:snapToGrid w:val="0"/>
      <w:spacing w:after="0" w:line="240" w:lineRule="auto"/>
      <w:jc w:val="both"/>
    </w:pPr>
    <w:rPr>
      <w:rFonts w:ascii="Times New Roman" w:eastAsia="SimSun"/>
      <w:sz w:val="16"/>
      <w:szCs w:val="16"/>
      <w:lang w:bidi="zh-CN" w:eastAsia="zh-CN" w:val="en-US"/>
    </w:rPr>
  </w:style>
  <w:style w:type="table" w:styleId="PlainTable41" w:customStyle="1">
    <w:name w:val="Plain Table 41"/>
    <w:basedOn w:val="TableNormal"/>
    <w:uiPriority w:val="44"/>
    <w:rsid w:val="00723A10"/>
    <w:rPr>
      <w:rFonts w:ascii="Calibri" w:eastAsia="Calibri"/>
      <w:b w:val="1"/>
      <w:bCs w:val="1"/>
      <w:sz w:val="22"/>
      <w:szCs w:val="22"/>
      <w:lang w:bidi="en-US" w:eastAsia="en-US"/>
    </w:rPr>
    <w:tblPr>
      <w:tblStyleRowBandSize w:val="1"/>
      <w:tblStyleColBandSize w:val="1"/>
      <w:tblCellSpacing w:w="0.0" w:type="auto"/>
      <w:tblInd w:w="0.0" w:type="dxa"/>
      <w:tblCellMar>
        <w:top w:w="0.0" w:type="dxa"/>
        <w:left w:w="108.0" w:type="dxa"/>
        <w:bottom w:w="0.0" w:type="dxa"/>
        <w:right w:w="108.0" w:type="dxa"/>
      </w:tblCellMar>
    </w:tblPr>
    <w:trPr>
      <w:tblCellSpacing w:w="0.0" w:type="auto"/>
    </w:trPr>
    <w:tblStylePr w:type="firstRow">
      <w:pPr>
        <w:bidi w:val="0"/>
      </w:pPr>
      <w:rPr>
        <w:b w:val="1"/>
        <w:bCs w:val="1"/>
      </w:rPr>
      <w:tblPr/>
      <w:tcPr>
        <w:tcMar>
          <w:top w:w="0.0" w:type="auto"/>
          <w:left w:w="0.0" w:type="auto"/>
          <w:bottom w:w="0.0" w:type="auto"/>
          <w:right w:w="0.0" w:type="auto"/>
        </w:tcMar>
      </w:tcPr>
    </w:tblStylePr>
    <w:tblStylePr w:type="lastRow">
      <w:pPr>
        <w:bidi w:val="0"/>
      </w:pPr>
      <w:rPr>
        <w:b w:val="1"/>
        <w:bCs w:val="1"/>
      </w:rPr>
      <w:tblPr/>
      <w:tcPr>
        <w:tcMar>
          <w:top w:w="0.0" w:type="auto"/>
          <w:left w:w="0.0" w:type="auto"/>
          <w:bottom w:w="0.0" w:type="auto"/>
          <w:right w:w="0.0" w:type="auto"/>
        </w:tcMar>
      </w:tcPr>
    </w:tblStylePr>
    <w:tblStylePr w:type="firstCol">
      <w:rPr>
        <w:b w:val="1"/>
        <w:bCs w:val="1"/>
      </w:rPr>
      <w:tblPr/>
      <w:tcPr>
        <w:tcMar>
          <w:top w:w="0.0" w:type="auto"/>
          <w:left w:w="0.0" w:type="auto"/>
          <w:bottom w:w="0.0" w:type="auto"/>
          <w:right w:w="0.0" w:type="auto"/>
        </w:tcMar>
      </w:tcPr>
    </w:tblStylePr>
    <w:tblStylePr w:type="lastCol">
      <w:rPr>
        <w:b w:val="1"/>
        <w:bCs w:val="1"/>
      </w:rPr>
      <w:tblPr/>
      <w:tcPr>
        <w:tcMar>
          <w:top w:w="0.0" w:type="auto"/>
          <w:left w:w="0.0" w:type="auto"/>
          <w:bottom w:w="0.0" w:type="auto"/>
          <w:right w:w="0.0" w:type="auto"/>
        </w:tcMar>
      </w:tcPr>
    </w:tblStylePr>
    <w:tblStylePr w:type="band1Vert">
      <w:tblPr/>
      <w:tcPr>
        <w:shd w:color="auto" w:fill="f2f2f2" w:val="clear"/>
        <w:tcMar>
          <w:top w:w="0.0" w:type="auto"/>
          <w:left w:w="0.0" w:type="auto"/>
          <w:bottom w:w="0.0" w:type="auto"/>
          <w:right w:w="0.0" w:type="auto"/>
        </w:tcMar>
      </w:tcPr>
    </w:tblStylePr>
    <w:tblStylePr w:type="band1Horz">
      <w:tblPr/>
      <w:tcPr>
        <w:shd w:color="auto" w:fill="f2f2f2" w:val="clear"/>
        <w:tcMar>
          <w:top w:w="0.0" w:type="auto"/>
          <w:left w:w="0.0" w:type="auto"/>
          <w:bottom w:w="0.0" w:type="auto"/>
          <w:right w:w="0.0" w:type="auto"/>
        </w:tcMar>
      </w:tcPr>
    </w:tblStylePr>
  </w:style>
  <w:style w:type="paragraph" w:styleId="Title">
    <w:name w:val="Title"/>
    <w:basedOn w:val="Normal"/>
    <w:link w:val="TitleChar"/>
    <w:uiPriority w:val="10"/>
    <w:qFormat w:val="1"/>
    <w:rsid w:val="00723A10"/>
    <w:pPr>
      <w:spacing w:after="0" w:line="240" w:lineRule="auto"/>
      <w:jc w:val="center"/>
    </w:pPr>
    <w:rPr>
      <w:b w:val="1"/>
      <w:bCs w:val="1"/>
      <w:sz w:val="28"/>
      <w:szCs w:val="28"/>
    </w:rPr>
  </w:style>
  <w:style w:type="table" w:styleId="TableGrid">
    <w:name w:val="Table Grid"/>
    <w:basedOn w:val="TableNormal"/>
    <w:uiPriority w:val="39"/>
    <w:rsid w:val="00723A10"/>
    <w:rPr>
      <w:rFonts w:ascii="Calibri" w:eastAsia="Calibri"/>
      <w:sz w:val="22"/>
      <w:szCs w:val="22"/>
      <w:lang w:bidi="en-US" w:eastAsia="en-US"/>
    </w:rPr>
    <w:tblPr>
      <w:tblCellSpacing w:w="0.0" w:type="auto"/>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trPr>
      <w:tblCellSpacing w:w="0.0" w:type="auto"/>
    </w:trPr>
  </w:style>
  <w:style w:type="character" w:styleId="Hyperlink">
    <w:name w:val="Hyperlink"/>
    <w:basedOn w:val="DefaultParagraphFont"/>
    <w:rsid w:val="00723A10"/>
    <w:rPr>
      <w:color w:val="0000ff"/>
      <w:u w:val="single"/>
    </w:rPr>
  </w:style>
  <w:style w:type="character" w:styleId="fontstyle01" w:customStyle="1">
    <w:name w:val="fontstyle01"/>
    <w:basedOn w:val="DefaultParagraphFont"/>
    <w:rsid w:val="00723A10"/>
    <w:rPr>
      <w:rFonts w:ascii="Times New Roman" w:eastAsia="Times New Roman"/>
      <w:color w:val="000000"/>
      <w:sz w:val="22"/>
      <w:szCs w:val="22"/>
    </w:rPr>
  </w:style>
  <w:style w:type="character" w:styleId="FooterChar" w:customStyle="1">
    <w:name w:val="Footer Char"/>
    <w:basedOn w:val="DefaultParagraphFont"/>
    <w:link w:val="Footer"/>
    <w:rsid w:val="00723A10"/>
  </w:style>
  <w:style w:type="character" w:styleId="TitleChar" w:customStyle="1">
    <w:name w:val="Title Char"/>
    <w:basedOn w:val="DefaultParagraphFont"/>
    <w:link w:val="Title"/>
    <w:uiPriority w:val="10"/>
    <w:rsid w:val="00723A10"/>
    <w:rPr>
      <w:rFonts w:ascii="Times New Roman" w:eastAsia="Times New Roman"/>
      <w:b w:val="1"/>
      <w:bCs w:val="1"/>
      <w:sz w:val="24"/>
      <w:szCs w:val="24"/>
    </w:rPr>
  </w:style>
  <w:style w:type="table" w:styleId="TableGridLight1" w:customStyle="1">
    <w:name w:val="Table Grid Light1"/>
    <w:basedOn w:val="TableNormal"/>
    <w:uiPriority w:val="40"/>
    <w:rsid w:val="00723A10"/>
    <w:rPr>
      <w:rFonts w:ascii="Calibri" w:eastAsia="Calibri"/>
      <w:sz w:val="22"/>
      <w:szCs w:val="22"/>
      <w:lang w:bidi="en-US" w:eastAsia="en-US"/>
    </w:rPr>
    <w:tblPr>
      <w:tblCellSpacing w:w="0.0" w:type="auto"/>
      <w:tblInd w:w="0.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CellMar>
        <w:top w:w="0.0" w:type="dxa"/>
        <w:left w:w="108.0" w:type="dxa"/>
        <w:bottom w:w="0.0" w:type="dxa"/>
        <w:right w:w="108.0" w:type="dxa"/>
      </w:tblCellMar>
    </w:tblPr>
    <w:trPr>
      <w:tblCellSpacing w:w="0.0" w:type="auto"/>
    </w:trPr>
  </w:style>
  <w:style w:type="character" w:styleId="HeaderChar" w:customStyle="1">
    <w:name w:val="Header Char"/>
    <w:basedOn w:val="DefaultParagraphFont"/>
    <w:link w:val="Header"/>
    <w:rsid w:val="00723A10"/>
  </w:style>
  <w:style w:type="paragraph" w:styleId="CommentSubject">
    <w:name w:val="annotation subject"/>
    <w:basedOn w:val="CommentText"/>
    <w:next w:val="CommentText"/>
    <w:link w:val="CommentSubjectChar"/>
    <w:rsid w:val="00723A10"/>
    <w:rPr>
      <w:b w:val="1"/>
      <w:bCs w:val="1"/>
    </w:rPr>
  </w:style>
  <w:style w:type="table" w:styleId="PlainTable31" w:customStyle="1">
    <w:name w:val="Plain Table 31"/>
    <w:basedOn w:val="TableNormal"/>
    <w:uiPriority w:val="43"/>
    <w:rsid w:val="00723A10"/>
    <w:rPr>
      <w:rFonts w:ascii="Calibri" w:eastAsia="Calibri"/>
      <w:b w:val="1"/>
      <w:bCs w:val="1"/>
      <w:caps w:val="1"/>
      <w:sz w:val="22"/>
      <w:szCs w:val="22"/>
      <w:lang w:bidi="en-US" w:eastAsia="en-US"/>
    </w:rPr>
    <w:tblPr>
      <w:tblStyleRowBandSize w:val="1"/>
      <w:tblStyleColBandSize w:val="1"/>
      <w:tblCellSpacing w:w="0.0" w:type="auto"/>
      <w:tblInd w:w="0.0" w:type="dxa"/>
      <w:tblCellMar>
        <w:top w:w="0.0" w:type="dxa"/>
        <w:left w:w="108.0" w:type="dxa"/>
        <w:bottom w:w="0.0" w:type="dxa"/>
        <w:right w:w="108.0" w:type="dxa"/>
      </w:tblCellMar>
    </w:tblPr>
    <w:trPr>
      <w:tblCellSpacing w:w="0.0" w:type="auto"/>
    </w:trPr>
    <w:tblStylePr w:type="firstRow">
      <w:pPr>
        <w:bidi w:val="0"/>
      </w:pPr>
      <w:rPr>
        <w:b w:val="1"/>
        <w:bCs w:val="1"/>
        <w:caps w:val="1"/>
      </w:rPr>
      <w:tblPr/>
      <w:tcPr>
        <w:tcBorders>
          <w:bottom w:color="7f7f7f" w:space="0" w:sz="4" w:val="single"/>
        </w:tcBorders>
        <w:tcMar>
          <w:top w:w="0.0" w:type="auto"/>
          <w:left w:w="0.0" w:type="auto"/>
          <w:bottom w:w="0.0" w:type="auto"/>
          <w:right w:w="0.0" w:type="auto"/>
        </w:tcMar>
      </w:tcPr>
    </w:tblStylePr>
    <w:tblStylePr w:type="lastRow">
      <w:pPr>
        <w:bidi w:val="0"/>
      </w:pPr>
      <w:rPr>
        <w:b w:val="1"/>
        <w:bCs w:val="1"/>
        <w:caps w:val="1"/>
      </w:rPr>
      <w:tblPr/>
      <w:tcPr>
        <w:tcBorders>
          <w:top w:space="0" w:sz="0" w:val="nil"/>
        </w:tcBorders>
        <w:tcMar>
          <w:top w:w="0.0" w:type="auto"/>
          <w:left w:w="0.0" w:type="auto"/>
          <w:bottom w:w="0.0" w:type="auto"/>
          <w:right w:w="0.0" w:type="auto"/>
        </w:tcMar>
      </w:tcPr>
    </w:tblStylePr>
    <w:tblStylePr w:type="firstCol">
      <w:rPr>
        <w:b w:val="1"/>
        <w:bCs w:val="1"/>
        <w:caps w:val="1"/>
      </w:rPr>
      <w:tblPr/>
      <w:tcPr>
        <w:tcBorders>
          <w:right w:color="7f7f7f" w:space="0" w:sz="4" w:val="single"/>
        </w:tcBorders>
        <w:tcMar>
          <w:top w:w="0.0" w:type="auto"/>
          <w:left w:w="0.0" w:type="auto"/>
          <w:bottom w:w="0.0" w:type="auto"/>
          <w:right w:w="0.0" w:type="auto"/>
        </w:tcMar>
      </w:tcPr>
    </w:tblStylePr>
    <w:tblStylePr w:type="lastCol">
      <w:rPr>
        <w:b w:val="1"/>
        <w:bCs w:val="1"/>
        <w:caps w:val="1"/>
      </w:rPr>
      <w:tblPr/>
      <w:tcPr>
        <w:tcBorders>
          <w:left w:space="0" w:sz="0" w:val="nil"/>
        </w:tcBorders>
        <w:tcMar>
          <w:top w:w="0.0" w:type="auto"/>
          <w:left w:w="0.0" w:type="auto"/>
          <w:bottom w:w="0.0" w:type="auto"/>
          <w:right w:w="0.0" w:type="auto"/>
        </w:tcMar>
      </w:tcPr>
    </w:tblStylePr>
    <w:tblStylePr w:type="band1Vert">
      <w:tblPr/>
      <w:tcPr>
        <w:shd w:color="auto" w:fill="f2f2f2" w:val="clear"/>
        <w:tcMar>
          <w:top w:w="0.0" w:type="auto"/>
          <w:left w:w="0.0" w:type="auto"/>
          <w:bottom w:w="0.0" w:type="auto"/>
          <w:right w:w="0.0" w:type="auto"/>
        </w:tcMar>
      </w:tcPr>
    </w:tblStylePr>
    <w:tblStylePr w:type="band1Horz">
      <w:tblPr/>
      <w:tcPr>
        <w:shd w:color="auto" w:fill="f2f2f2" w:val="clear"/>
        <w:tcMar>
          <w:top w:w="0.0" w:type="auto"/>
          <w:left w:w="0.0" w:type="auto"/>
          <w:bottom w:w="0.0" w:type="auto"/>
          <w:right w:w="0.0" w:type="auto"/>
        </w:tcMar>
      </w:tcPr>
    </w:tblStylePr>
    <w:tblStylePr w:type="neCell">
      <w:tblPr/>
      <w:tcPr>
        <w:tcBorders>
          <w:left w:space="0" w:sz="0" w:val="nil"/>
        </w:tcBorders>
        <w:tcMar>
          <w:top w:w="0.0" w:type="auto"/>
          <w:left w:w="0.0" w:type="auto"/>
          <w:bottom w:w="0.0" w:type="auto"/>
          <w:right w:w="0.0" w:type="auto"/>
        </w:tcMar>
      </w:tcPr>
    </w:tblStylePr>
    <w:tblStylePr w:type="nwCell">
      <w:tblPr/>
      <w:tcPr>
        <w:tcBorders>
          <w:right w:space="0" w:sz="0" w:val="nil"/>
        </w:tcBorders>
        <w:tcMar>
          <w:top w:w="0.0" w:type="auto"/>
          <w:left w:w="0.0" w:type="auto"/>
          <w:bottom w:w="0.0" w:type="auto"/>
          <w:right w:w="0.0" w:type="auto"/>
        </w:tcMar>
      </w:tcPr>
    </w:tblStylePr>
  </w:style>
  <w:style w:type="paragraph" w:styleId="CommentText">
    <w:name w:val="annotation text"/>
    <w:basedOn w:val="Normal"/>
    <w:link w:val="CommentTextChar"/>
    <w:rsid w:val="00723A10"/>
    <w:pPr>
      <w:spacing w:line="240" w:lineRule="auto"/>
    </w:pPr>
    <w:rPr>
      <w:sz w:val="20"/>
      <w:szCs w:val="20"/>
    </w:rPr>
  </w:style>
  <w:style w:type="paragraph" w:styleId="ListParagraph">
    <w:name w:val="List Paragraph"/>
    <w:basedOn w:val="Normal"/>
    <w:uiPriority w:val="34"/>
    <w:qFormat w:val="1"/>
    <w:rsid w:val="00723A10"/>
    <w:pPr>
      <w:ind w:left="720"/>
      <w:contextualSpacing w:val="1"/>
    </w:pPr>
  </w:style>
  <w:style w:type="character" w:styleId="CommentSubjectChar" w:customStyle="1">
    <w:name w:val="Comment Subject Char"/>
    <w:basedOn w:val="CommentTextChar"/>
    <w:link w:val="CommentSubject"/>
    <w:rsid w:val="00723A10"/>
    <w:rPr>
      <w:b w:val="1"/>
      <w:bCs w:val="1"/>
      <w:sz w:val="20"/>
      <w:szCs w:val="20"/>
    </w:rPr>
  </w:style>
  <w:style w:type="character" w:styleId="CommentReference">
    <w:name w:val="annotation reference"/>
    <w:basedOn w:val="DefaultParagraphFont"/>
    <w:rsid w:val="00723A10"/>
    <w:rPr>
      <w:sz w:val="16"/>
      <w:szCs w:val="16"/>
    </w:rPr>
  </w:style>
  <w:style w:type="character" w:styleId="Heading4Char" w:customStyle="1">
    <w:name w:val="Heading 4 Char"/>
    <w:basedOn w:val="DefaultParagraphFont"/>
    <w:link w:val="Heading4"/>
    <w:uiPriority w:val="9"/>
    <w:semiHidden w:val="1"/>
    <w:rsid w:val="007D57B1"/>
    <w:rPr>
      <w:rFonts w:asciiTheme="majorHAnsi" w:cstheme="majorBidi" w:eastAsiaTheme="majorEastAsia" w:hAnsiTheme="majorHAnsi"/>
      <w:b w:val="1"/>
      <w:bCs w:val="1"/>
      <w:i w:val="1"/>
      <w:iCs w:val="1"/>
      <w:color w:val="4f81bd" w:themeColor="accent1"/>
      <w:sz w:val="22"/>
      <w:szCs w:val="22"/>
      <w:lang w:bidi="en-US" w:eastAsia="en-US"/>
    </w:rPr>
  </w:style>
  <w:style w:type="paragraph" w:styleId="TOC3">
    <w:name w:val="toc 3"/>
    <w:basedOn w:val="Normal"/>
    <w:next w:val="Normal"/>
    <w:autoRedefine w:val="1"/>
    <w:uiPriority w:val="39"/>
    <w:unhideWhenUsed w:val="1"/>
    <w:qFormat w:val="1"/>
    <w:rsid w:val="00A9721E"/>
    <w:pPr>
      <w:spacing w:after="100" w:line="276" w:lineRule="auto"/>
      <w:ind w:left="440"/>
    </w:pPr>
    <w:rPr>
      <w:rFonts w:asciiTheme="minorHAnsi" w:eastAsiaTheme="minorEastAsia" w:hAnsiTheme="minorHAnsi"/>
      <w:lang w:bidi="ar-SA" w:eastAsia="ja-JP" w:val="en-US"/>
    </w:rPr>
  </w:style>
  <w:style w:type="paragraph" w:styleId="Default" w:customStyle="1">
    <w:name w:val="Default"/>
    <w:rsid w:val="00CA0B7A"/>
    <w:pPr>
      <w:autoSpaceDE w:val="0"/>
      <w:autoSpaceDN w:val="0"/>
      <w:adjustRightInd w:val="0"/>
    </w:pPr>
    <w:rPr>
      <w:color w:val="000000"/>
      <w:sz w:val="24"/>
      <w:szCs w:val="24"/>
      <w:lang w:eastAsia="en-US"/>
    </w:rPr>
  </w:style>
  <w:style w:type="paragraph" w:styleId="FootnoteText">
    <w:name w:val="footnote text"/>
    <w:basedOn w:val="Normal"/>
    <w:link w:val="FootnoteTextChar"/>
    <w:uiPriority w:val="99"/>
    <w:semiHidden w:val="1"/>
    <w:unhideWhenUsed w:val="1"/>
    <w:rsid w:val="0063557B"/>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63557B"/>
    <w:rPr>
      <w:rFonts w:ascii="Calibri" w:eastAsia="Calibri"/>
      <w:lang w:bidi="en-US" w:eastAsia="en-US"/>
    </w:rPr>
  </w:style>
  <w:style w:type="character" w:styleId="FootnoteReference">
    <w:name w:val="footnote reference"/>
    <w:basedOn w:val="DefaultParagraphFont"/>
    <w:uiPriority w:val="99"/>
    <w:semiHidden w:val="1"/>
    <w:unhideWhenUsed w:val="1"/>
    <w:rsid w:val="0063557B"/>
    <w:rPr>
      <w:vertAlign w:val="superscript"/>
    </w:rPr>
  </w:style>
  <w:style w:type="paragraph" w:styleId="EndnoteText">
    <w:name w:val="endnote text"/>
    <w:basedOn w:val="Normal"/>
    <w:link w:val="EndnoteTextChar"/>
    <w:uiPriority w:val="99"/>
    <w:semiHidden w:val="1"/>
    <w:unhideWhenUsed w:val="1"/>
    <w:rsid w:val="0063557B"/>
    <w:pPr>
      <w:spacing w:after="0" w:line="240" w:lineRule="auto"/>
    </w:pPr>
    <w:rPr>
      <w:sz w:val="20"/>
      <w:szCs w:val="20"/>
    </w:rPr>
  </w:style>
  <w:style w:type="character" w:styleId="EndnoteTextChar" w:customStyle="1">
    <w:name w:val="Endnote Text Char"/>
    <w:basedOn w:val="DefaultParagraphFont"/>
    <w:link w:val="EndnoteText"/>
    <w:uiPriority w:val="99"/>
    <w:semiHidden w:val="1"/>
    <w:rsid w:val="0063557B"/>
    <w:rPr>
      <w:rFonts w:ascii="Calibri" w:eastAsia="Calibri"/>
      <w:lang w:bidi="en-US" w:eastAsia="en-US"/>
    </w:rPr>
  </w:style>
  <w:style w:type="character" w:styleId="EndnoteReference">
    <w:name w:val="endnote reference"/>
    <w:basedOn w:val="DefaultParagraphFont"/>
    <w:uiPriority w:val="99"/>
    <w:semiHidden w:val="1"/>
    <w:unhideWhenUsed w:val="1"/>
    <w:rsid w:val="0063557B"/>
    <w:rPr>
      <w:vertAlign w:val="superscript"/>
    </w:rPr>
  </w:style>
  <w:style w:type="character" w:styleId="PlaceholderText">
    <w:name w:val="Placeholder Text"/>
    <w:basedOn w:val="DefaultParagraphFont"/>
    <w:uiPriority w:val="99"/>
    <w:semiHidden w:val="1"/>
    <w:rsid w:val="0063557B"/>
    <w:rPr>
      <w:color w:val="80808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fadlurrahman@untidar.ac.id3" TargetMode="External"/><Relationship Id="rId10" Type="http://schemas.openxmlformats.org/officeDocument/2006/relationships/hyperlink" Target="mailto:enybudiorbawati@gmail.com2" TargetMode="External"/><Relationship Id="rId13" Type="http://schemas.openxmlformats.org/officeDocument/2006/relationships/header" Target="header1.xml"/><Relationship Id="rId12" Type="http://schemas.openxmlformats.org/officeDocument/2006/relationships/hyperlink" Target="mailto:fadlurrahman@untidar.ac.id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enybudiorbawati@gmail.com2" TargetMode="External"/><Relationship Id="rId15" Type="http://schemas.openxmlformats.org/officeDocument/2006/relationships/hyperlink" Target="https://www.bps.go.id/pressrelease/2021/02/15/1851/persentase-penduduk-miskin-september-2020-naik-menjadi-10-19-persen.html" TargetMode="External"/><Relationship Id="rId14" Type="http://schemas.openxmlformats.org/officeDocument/2006/relationships/footer" Target="footer1.xml"/><Relationship Id="rId17" Type="http://schemas.openxmlformats.org/officeDocument/2006/relationships/hyperlink" Target="https://pkh.kemensos.go.id/?pg=tentangpkh-1" TargetMode="External"/><Relationship Id="rId16" Type="http://schemas.openxmlformats.org/officeDocument/2006/relationships/hyperlink" Target="https://kemensos.go.id/program-keluarga-harapan-pkh"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fatimatuzzuhro18@gmail.com1" TargetMode="External"/><Relationship Id="rId8" Type="http://schemas.openxmlformats.org/officeDocument/2006/relationships/hyperlink" Target="mailto:fatimatuzzuhro18@gmail.com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PPPAkI5C9/gcgxXk3ZIBv+4AoA==">AMUW2mVnq/N/zAvZqd58kkExuHnAJaukVzrqp4pM4KwSWLt+Dd8MJKiLO1iNfOZgIdY1yayplIL58LiZWLoVR8FdxMjvqJMF6Un0+NeVboMhNrYfwvJvUHALkV1xRtsPO3c15x0DrWH1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2022-03-31T04:17:00Z</dcterms:created>
  <dc:creator>WPS Office</dc:creator>
</cp:coreProperties>
</file>